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BC8E05" w14:textId="4810B517" w:rsidR="00345823" w:rsidRPr="00CE0424" w:rsidRDefault="00345823" w:rsidP="00345823">
      <w:pPr>
        <w:pStyle w:val="3GPPHeader"/>
        <w:spacing w:after="0"/>
        <w:rPr>
          <w:sz w:val="32"/>
          <w:szCs w:val="32"/>
          <w:highlight w:val="yellow"/>
        </w:rPr>
      </w:pPr>
      <w:r w:rsidRPr="00CE0424">
        <w:t>3GPP TSG-RAN WG</w:t>
      </w:r>
      <w:r>
        <w:t>1</w:t>
      </w:r>
      <w:r w:rsidRPr="00CE0424">
        <w:t xml:space="preserve"> </w:t>
      </w:r>
      <w:r>
        <w:t xml:space="preserve">Meeting </w:t>
      </w:r>
      <w:r w:rsidRPr="00CE0424">
        <w:t>#</w:t>
      </w:r>
      <w:r>
        <w:t>122-bis</w:t>
      </w:r>
      <w:r w:rsidRPr="00CE0424">
        <w:tab/>
      </w:r>
      <w:r w:rsidRPr="00912013">
        <w:t>R1-</w:t>
      </w:r>
      <w:r w:rsidR="00912013" w:rsidRPr="00912013">
        <w:t>250</w:t>
      </w:r>
      <w:r w:rsidR="00912013">
        <w:t>7890</w:t>
      </w:r>
    </w:p>
    <w:p w14:paraId="3086AC07" w14:textId="5312F3F2" w:rsidR="00E90E49" w:rsidRDefault="00345823" w:rsidP="00357380">
      <w:pPr>
        <w:pStyle w:val="3GPPHeader"/>
      </w:pPr>
      <w:r w:rsidRPr="00323B42">
        <w:t>Prague, Czechia, October 13</w:t>
      </w:r>
      <w:r w:rsidRPr="00323B42">
        <w:rPr>
          <w:vertAlign w:val="superscript"/>
        </w:rPr>
        <w:t>th</w:t>
      </w:r>
      <w:r w:rsidRPr="00323B42">
        <w:t xml:space="preserve"> – 17</w:t>
      </w:r>
      <w:r w:rsidRPr="00323B42">
        <w:rPr>
          <w:vertAlign w:val="superscript"/>
        </w:rPr>
        <w:t>th</w:t>
      </w:r>
      <w:r w:rsidRPr="00323B42">
        <w:t xml:space="preserve"> 2025</w:t>
      </w:r>
    </w:p>
    <w:p w14:paraId="4DA4EE9C" w14:textId="77777777" w:rsidR="00345823" w:rsidRPr="00CE0424" w:rsidRDefault="00345823" w:rsidP="00357380">
      <w:pPr>
        <w:pStyle w:val="3GPPHeader"/>
      </w:pPr>
    </w:p>
    <w:p w14:paraId="3982483C" w14:textId="7B837F49" w:rsidR="00E90E49" w:rsidRPr="009665D0" w:rsidRDefault="00E90E49" w:rsidP="00311702">
      <w:pPr>
        <w:pStyle w:val="3GPPHeader"/>
        <w:rPr>
          <w:sz w:val="22"/>
        </w:rPr>
      </w:pPr>
      <w:r w:rsidRPr="009665D0">
        <w:rPr>
          <w:sz w:val="22"/>
        </w:rPr>
        <w:t>Agenda Item:</w:t>
      </w:r>
      <w:r w:rsidRPr="009665D0">
        <w:rPr>
          <w:sz w:val="22"/>
        </w:rPr>
        <w:tab/>
      </w:r>
      <w:r w:rsidR="00B644C0">
        <w:rPr>
          <w:sz w:val="22"/>
        </w:rPr>
        <w:t>5</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02AAEF5A" w:rsidR="00E90E49" w:rsidRPr="00CE0424" w:rsidRDefault="003D3C45" w:rsidP="00311702">
      <w:pPr>
        <w:pStyle w:val="3GPPHeader"/>
        <w:rPr>
          <w:sz w:val="22"/>
        </w:rPr>
      </w:pPr>
      <w:r>
        <w:rPr>
          <w:sz w:val="22"/>
        </w:rPr>
        <w:t>Title:</w:t>
      </w:r>
      <w:r w:rsidR="00E90E49" w:rsidRPr="00CE0424">
        <w:rPr>
          <w:sz w:val="22"/>
        </w:rPr>
        <w:tab/>
      </w:r>
      <w:r w:rsidR="009665D0">
        <w:rPr>
          <w:sz w:val="22"/>
        </w:rPr>
        <w:t>On RAN2 LS on RACH-less handover</w:t>
      </w:r>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9665D0">
        <w:rPr>
          <w:sz w:val="22"/>
        </w:rPr>
        <w:t>Discussion, Decision</w:t>
      </w:r>
    </w:p>
    <w:p w14:paraId="2D5672ED" w14:textId="77777777" w:rsidR="00E90E49" w:rsidRPr="00CE0424" w:rsidRDefault="00E90E49" w:rsidP="00E90E49"/>
    <w:p w14:paraId="6883CB62" w14:textId="33436E6E" w:rsidR="00E90E49" w:rsidRPr="00CE0424" w:rsidRDefault="00E90E49" w:rsidP="00AC22FB">
      <w:pPr>
        <w:pStyle w:val="Heading1"/>
      </w:pPr>
      <w:r w:rsidRPr="00CE0424">
        <w:t>Introduction</w:t>
      </w:r>
    </w:p>
    <w:p w14:paraId="231E64EA" w14:textId="29889783" w:rsidR="00477768" w:rsidRDefault="009665D0" w:rsidP="00CE0424">
      <w:pPr>
        <w:pStyle w:val="BodyText"/>
      </w:pPr>
      <w:r>
        <w:t>RAN1 received the following LS from RAN2</w:t>
      </w:r>
      <w:r w:rsidR="00DB5A77">
        <w:t xml:space="preserve"> relating to RACH-less handover in NTN and mobile-IAB</w:t>
      </w:r>
      <w:r>
        <w:t>:</w:t>
      </w:r>
    </w:p>
    <w:tbl>
      <w:tblPr>
        <w:tblStyle w:val="TableGrid"/>
        <w:tblW w:w="0" w:type="auto"/>
        <w:tblLook w:val="04A0" w:firstRow="1" w:lastRow="0" w:firstColumn="1" w:lastColumn="0" w:noHBand="0" w:noVBand="1"/>
      </w:tblPr>
      <w:tblGrid>
        <w:gridCol w:w="9629"/>
      </w:tblGrid>
      <w:tr w:rsidR="009665D0" w14:paraId="5D2D8A59" w14:textId="77777777">
        <w:tc>
          <w:tcPr>
            <w:tcW w:w="9629" w:type="dxa"/>
          </w:tcPr>
          <w:p w14:paraId="3F3011E1" w14:textId="77777777" w:rsidR="009665D0" w:rsidRPr="00CC1BFB" w:rsidRDefault="009665D0" w:rsidP="009665D0">
            <w:pPr>
              <w:pStyle w:val="BodyText"/>
              <w:rPr>
                <w:b/>
                <w:sz w:val="20"/>
                <w:szCs w:val="20"/>
              </w:rPr>
            </w:pPr>
            <w:r w:rsidRPr="009665D0">
              <w:rPr>
                <w:b/>
              </w:rPr>
              <w:t xml:space="preserve">1. </w:t>
            </w:r>
            <w:r w:rsidRPr="00FF6858">
              <w:rPr>
                <w:b/>
                <w:szCs w:val="20"/>
              </w:rPr>
              <w:t>Overall Description:</w:t>
            </w:r>
          </w:p>
          <w:p w14:paraId="322AC313" w14:textId="77777777" w:rsidR="009665D0" w:rsidRPr="00CC1BFB" w:rsidRDefault="009665D0" w:rsidP="009665D0">
            <w:pPr>
              <w:pStyle w:val="BodyText"/>
              <w:rPr>
                <w:sz w:val="20"/>
                <w:szCs w:val="20"/>
              </w:rPr>
            </w:pPr>
            <w:bookmarkStart w:id="0" w:name="OLE_LINK1"/>
            <w:bookmarkStart w:id="1" w:name="_Hlk149073819"/>
            <w:r w:rsidRPr="00FF6858">
              <w:rPr>
                <w:szCs w:val="20"/>
              </w:rPr>
              <w:t>RAN2 would like to inform RAN1 that RACH-less handover applies to NTN UEs and TN UEs (including UEs on mobile IAB). In addition, about which target beam the UE should use during the handover procedure, RAN2 has made the following agreement: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6"/>
            </w:tblGrid>
            <w:tr w:rsidR="009665D0" w:rsidRPr="006D51B8" w14:paraId="189BCDD7" w14:textId="77777777" w:rsidTr="009665D0">
              <w:tc>
                <w:tcPr>
                  <w:tcW w:w="8647" w:type="dxa"/>
                  <w:tcBorders>
                    <w:top w:val="single" w:sz="4" w:space="0" w:color="auto"/>
                    <w:left w:val="single" w:sz="4" w:space="0" w:color="auto"/>
                    <w:bottom w:val="single" w:sz="4" w:space="0" w:color="auto"/>
                    <w:right w:val="single" w:sz="4" w:space="0" w:color="auto"/>
                  </w:tcBorders>
                  <w:hideMark/>
                </w:tcPr>
                <w:p w14:paraId="2D8A7DAE" w14:textId="77777777" w:rsidR="009665D0" w:rsidRPr="00CC1BFB" w:rsidRDefault="009665D0" w:rsidP="009665D0">
                  <w:pPr>
                    <w:pStyle w:val="BodyText"/>
                    <w:rPr>
                      <w:b/>
                      <w:szCs w:val="20"/>
                      <w:lang w:val="en-GB"/>
                    </w:rPr>
                  </w:pPr>
                  <w:r w:rsidRPr="00CC1BFB">
                    <w:rPr>
                      <w:b/>
                      <w:szCs w:val="20"/>
                      <w:lang w:val="en-GB"/>
                    </w:rPr>
                    <w:t>Agreements RAN2#130:</w:t>
                  </w:r>
                </w:p>
                <w:p w14:paraId="35044485" w14:textId="77777777" w:rsidR="009665D0" w:rsidRPr="00CC1BFB" w:rsidRDefault="009665D0" w:rsidP="009665D0">
                  <w:pPr>
                    <w:pStyle w:val="BodyText"/>
                    <w:numPr>
                      <w:ilvl w:val="0"/>
                      <w:numId w:val="25"/>
                    </w:numPr>
                    <w:spacing w:after="0"/>
                    <w:rPr>
                      <w:bCs/>
                      <w:szCs w:val="20"/>
                      <w:lang w:val="en-GB"/>
                    </w:rPr>
                  </w:pPr>
                  <w:r w:rsidRPr="00CC1BFB">
                    <w:rPr>
                      <w:bCs/>
                      <w:szCs w:val="20"/>
                      <w:lang w:val="en-GB"/>
                    </w:rPr>
                    <w:t>RAN2 confirms that current specification follows this behaviour</w:t>
                  </w:r>
                </w:p>
                <w:p w14:paraId="7FC560A7" w14:textId="77777777" w:rsidR="009665D0" w:rsidRPr="00CC1BFB" w:rsidRDefault="009665D0" w:rsidP="009665D0">
                  <w:pPr>
                    <w:pStyle w:val="BodyText"/>
                    <w:spacing w:after="0"/>
                    <w:ind w:left="360"/>
                    <w:rPr>
                      <w:szCs w:val="20"/>
                      <w:lang w:val="en-GB"/>
                    </w:rPr>
                  </w:pPr>
                  <w:r w:rsidRPr="00CC1BFB">
                    <w:rPr>
                      <w:szCs w:val="20"/>
                      <w:lang w:val="en-GB"/>
                    </w:rPr>
                    <w:t>- For NTN, only SSB index is configured</w:t>
                  </w:r>
                </w:p>
                <w:p w14:paraId="5219EBAA" w14:textId="77777777" w:rsidR="009665D0" w:rsidRPr="00CC1BFB" w:rsidRDefault="009665D0" w:rsidP="009665D0">
                  <w:pPr>
                    <w:pStyle w:val="BodyText"/>
                    <w:spacing w:after="0"/>
                    <w:ind w:left="360"/>
                    <w:rPr>
                      <w:szCs w:val="20"/>
                      <w:lang w:val="en-GB"/>
                    </w:rPr>
                  </w:pPr>
                  <w:r w:rsidRPr="00CC1BFB">
                    <w:rPr>
                      <w:szCs w:val="20"/>
                      <w:lang w:val="en-GB"/>
                    </w:rPr>
                    <w:t>- For Mobile IAB only TCI state index is configured</w:t>
                  </w:r>
                </w:p>
                <w:p w14:paraId="4772C27B" w14:textId="77777777" w:rsidR="009665D0" w:rsidRPr="00CC1BFB" w:rsidRDefault="009665D0" w:rsidP="009665D0">
                  <w:pPr>
                    <w:pStyle w:val="BodyText"/>
                    <w:ind w:left="360"/>
                    <w:rPr>
                      <w:szCs w:val="20"/>
                      <w:lang w:val="en-GB"/>
                    </w:rPr>
                  </w:pPr>
                  <w:r w:rsidRPr="00CC1BFB">
                    <w:rPr>
                      <w:szCs w:val="20"/>
                      <w:lang w:val="en-GB"/>
                    </w:rPr>
                    <w:t>- for TN, SSB index or TCI State can be configured</w:t>
                  </w:r>
                </w:p>
              </w:tc>
            </w:tr>
          </w:tbl>
          <w:p w14:paraId="2C346CD3" w14:textId="77777777" w:rsidR="009665D0" w:rsidRPr="00CC1BFB" w:rsidRDefault="009665D0" w:rsidP="009665D0">
            <w:pPr>
              <w:pStyle w:val="BodyText"/>
              <w:rPr>
                <w:sz w:val="20"/>
                <w:szCs w:val="20"/>
              </w:rPr>
            </w:pPr>
          </w:p>
          <w:bookmarkEnd w:id="0"/>
          <w:bookmarkEnd w:id="1"/>
          <w:p w14:paraId="723FAB92" w14:textId="77777777" w:rsidR="009665D0" w:rsidRPr="00CC1BFB" w:rsidRDefault="009665D0" w:rsidP="009665D0">
            <w:pPr>
              <w:pStyle w:val="BodyText"/>
              <w:rPr>
                <w:b/>
                <w:sz w:val="20"/>
                <w:szCs w:val="20"/>
              </w:rPr>
            </w:pPr>
            <w:r w:rsidRPr="00FF6858">
              <w:rPr>
                <w:b/>
                <w:szCs w:val="20"/>
              </w:rPr>
              <w:t>2. Actions:</w:t>
            </w:r>
          </w:p>
          <w:p w14:paraId="0FA606D7" w14:textId="77777777" w:rsidR="009665D0" w:rsidRPr="00CC1BFB" w:rsidRDefault="009665D0" w:rsidP="009665D0">
            <w:pPr>
              <w:pStyle w:val="BodyText"/>
              <w:rPr>
                <w:b/>
                <w:sz w:val="20"/>
                <w:szCs w:val="20"/>
              </w:rPr>
            </w:pPr>
            <w:r w:rsidRPr="00FF6858">
              <w:rPr>
                <w:b/>
                <w:szCs w:val="20"/>
              </w:rPr>
              <w:t>To RAN1:</w:t>
            </w:r>
          </w:p>
          <w:p w14:paraId="0339D859" w14:textId="6F6110E3" w:rsidR="009665D0" w:rsidRDefault="009665D0" w:rsidP="009665D0">
            <w:pPr>
              <w:pStyle w:val="BodyText"/>
            </w:pPr>
            <w:r w:rsidRPr="00FF6858">
              <w:rPr>
                <w:b/>
                <w:szCs w:val="20"/>
              </w:rPr>
              <w:t xml:space="preserve">ACTION: </w:t>
            </w:r>
            <w:r w:rsidRPr="00FF6858">
              <w:rPr>
                <w:szCs w:val="20"/>
              </w:rPr>
              <w:t>RAN2 respectfully asks RAN1 to take the above information related to RACH-less handover into consideration to check if any necessary RAN1 specification updates.</w:t>
            </w:r>
          </w:p>
        </w:tc>
      </w:tr>
    </w:tbl>
    <w:p w14:paraId="6008FE8B" w14:textId="77777777" w:rsidR="009665D0" w:rsidRPr="00CE0424" w:rsidRDefault="009665D0" w:rsidP="00CE0424">
      <w:pPr>
        <w:pStyle w:val="BodyText"/>
      </w:pPr>
    </w:p>
    <w:p w14:paraId="60123794" w14:textId="6825F9D3" w:rsidR="004000E8" w:rsidRDefault="004000E8" w:rsidP="00CE0424">
      <w:pPr>
        <w:pStyle w:val="Heading1"/>
      </w:pPr>
      <w:bookmarkStart w:id="2" w:name="_Ref178064866"/>
      <w:r w:rsidRPr="00CE0424">
        <w:t>Discussion</w:t>
      </w:r>
      <w:bookmarkEnd w:id="2"/>
    </w:p>
    <w:p w14:paraId="5EADA8E7" w14:textId="02EE4E2C" w:rsidR="00CF308A" w:rsidRDefault="00150A0A" w:rsidP="00563FE5">
      <w:pPr>
        <w:jc w:val="both"/>
        <w:rPr>
          <w:lang w:val="en-GB" w:eastAsia="ja-JP"/>
        </w:rPr>
      </w:pPr>
      <w:r>
        <w:rPr>
          <w:lang w:val="en-GB" w:eastAsia="ja-JP"/>
        </w:rPr>
        <w:t>TS 38.213, Sec. 22 discuss RACH-less handover for NTN</w:t>
      </w:r>
      <w:r w:rsidR="00C80ACA">
        <w:rPr>
          <w:lang w:val="en-GB" w:eastAsia="ja-JP"/>
        </w:rPr>
        <w:t xml:space="preserve"> while Sec. 7.1.1 describes the UE behavior </w:t>
      </w:r>
      <w:r w:rsidR="007022E1">
        <w:rPr>
          <w:lang w:val="en-GB" w:eastAsia="ja-JP"/>
        </w:rPr>
        <w:t>with respect to PUSCH</w:t>
      </w:r>
      <w:r w:rsidR="000E26D6">
        <w:rPr>
          <w:lang w:val="en-GB" w:eastAsia="ja-JP"/>
        </w:rPr>
        <w:t xml:space="preserve"> that is in general applicable to TN as well as mobile IAB. Specifically, there exist</w:t>
      </w:r>
      <w:r w:rsidR="00F52023">
        <w:rPr>
          <w:lang w:val="en-GB" w:eastAsia="ja-JP"/>
        </w:rPr>
        <w:t>s</w:t>
      </w:r>
      <w:r w:rsidR="000E26D6">
        <w:rPr>
          <w:lang w:val="en-GB" w:eastAsia="ja-JP"/>
        </w:rPr>
        <w:t xml:space="preserve"> </w:t>
      </w:r>
      <w:r w:rsidR="00CF308A">
        <w:rPr>
          <w:lang w:val="en-GB" w:eastAsia="ja-JP"/>
        </w:rPr>
        <w:t>the following description related to RACH-less handover</w:t>
      </w:r>
      <w:r w:rsidR="003E2161">
        <w:rPr>
          <w:lang w:val="en-GB" w:eastAsia="ja-JP"/>
        </w:rPr>
        <w:t>:</w:t>
      </w:r>
    </w:p>
    <w:tbl>
      <w:tblPr>
        <w:tblStyle w:val="TableGrid"/>
        <w:tblW w:w="0" w:type="auto"/>
        <w:tblLook w:val="04A0" w:firstRow="1" w:lastRow="0" w:firstColumn="1" w:lastColumn="0" w:noHBand="0" w:noVBand="1"/>
      </w:tblPr>
      <w:tblGrid>
        <w:gridCol w:w="9629"/>
      </w:tblGrid>
      <w:tr w:rsidR="00CF308A" w14:paraId="6B1D7359" w14:textId="77777777" w:rsidTr="00CF308A">
        <w:tc>
          <w:tcPr>
            <w:tcW w:w="9629" w:type="dxa"/>
          </w:tcPr>
          <w:p w14:paraId="73F74627" w14:textId="61C85224" w:rsidR="001D41D6" w:rsidRPr="001D41D6" w:rsidRDefault="001D41D6" w:rsidP="005B408D">
            <w:pPr>
              <w:pStyle w:val="Heading3"/>
              <w:numPr>
                <w:ilvl w:val="0"/>
                <w:numId w:val="0"/>
              </w:numPr>
              <w:ind w:left="720" w:hanging="720"/>
              <w:rPr>
                <w:sz w:val="20"/>
                <w:szCs w:val="20"/>
              </w:rPr>
            </w:pPr>
            <w:r w:rsidRPr="001D41D6">
              <w:rPr>
                <w:sz w:val="20"/>
                <w:szCs w:val="20"/>
              </w:rPr>
              <w:t>(cf. TS 38.213 v18.7.0)</w:t>
            </w:r>
          </w:p>
          <w:p w14:paraId="5792D031" w14:textId="1DDE4B31" w:rsidR="000035B6" w:rsidRPr="00B916EC" w:rsidRDefault="005B408D" w:rsidP="005B408D">
            <w:pPr>
              <w:pStyle w:val="Heading3"/>
              <w:numPr>
                <w:ilvl w:val="0"/>
                <w:numId w:val="0"/>
              </w:numPr>
              <w:ind w:left="720" w:hanging="720"/>
            </w:pPr>
            <w:r>
              <w:t xml:space="preserve">7.1.1   </w:t>
            </w:r>
            <w:r w:rsidR="000035B6" w:rsidRPr="00B916EC">
              <w:t xml:space="preserve">UE </w:t>
            </w:r>
            <w:proofErr w:type="spellStart"/>
            <w:r w:rsidR="000035B6" w:rsidRPr="00B916EC">
              <w:t>behaviour</w:t>
            </w:r>
            <w:proofErr w:type="spellEnd"/>
          </w:p>
          <w:p w14:paraId="3649D1AD" w14:textId="370FDE0A" w:rsidR="000035B6" w:rsidRPr="001D41D6" w:rsidRDefault="000035B6" w:rsidP="000035B6">
            <w:pPr>
              <w:jc w:val="center"/>
              <w:rPr>
                <w:sz w:val="20"/>
                <w:szCs w:val="20"/>
                <w:lang w:eastAsia="zh-CN"/>
              </w:rPr>
            </w:pPr>
            <w:r w:rsidRPr="001D41D6">
              <w:rPr>
                <w:color w:val="FF0000"/>
                <w:sz w:val="20"/>
                <w:szCs w:val="20"/>
                <w:lang w:eastAsia="zh-CN"/>
              </w:rPr>
              <w:t xml:space="preserve">*** </w:t>
            </w:r>
            <w:r w:rsidRPr="001D41D6">
              <w:rPr>
                <w:color w:val="FF0000"/>
                <w:sz w:val="20"/>
                <w:szCs w:val="20"/>
              </w:rPr>
              <w:t>omitted</w:t>
            </w:r>
            <w:r w:rsidRPr="001D41D6">
              <w:rPr>
                <w:color w:val="FF0000"/>
                <w:sz w:val="20"/>
                <w:szCs w:val="20"/>
                <w:lang w:eastAsia="zh-CN"/>
              </w:rPr>
              <w:t xml:space="preserve"> </w:t>
            </w:r>
            <w:r w:rsidR="00826CEC">
              <w:rPr>
                <w:color w:val="FF0000"/>
                <w:sz w:val="20"/>
                <w:szCs w:val="20"/>
                <w:lang w:eastAsia="zh-CN"/>
              </w:rPr>
              <w:t>text</w:t>
            </w:r>
            <w:r w:rsidR="00032A62">
              <w:rPr>
                <w:color w:val="FF0000"/>
                <w:sz w:val="20"/>
                <w:szCs w:val="20"/>
                <w:lang w:eastAsia="zh-CN"/>
              </w:rPr>
              <w:t xml:space="preserve"> </w:t>
            </w:r>
            <w:r w:rsidRPr="001D41D6">
              <w:rPr>
                <w:color w:val="FF0000"/>
                <w:sz w:val="20"/>
                <w:szCs w:val="20"/>
                <w:lang w:eastAsia="zh-CN"/>
              </w:rPr>
              <w:t>***</w:t>
            </w:r>
          </w:p>
          <w:p w14:paraId="48FDA693" w14:textId="77777777" w:rsidR="000035B6" w:rsidRPr="001D41D6" w:rsidRDefault="000035B6" w:rsidP="000035B6">
            <w:pPr>
              <w:rPr>
                <w:noProof/>
                <w:sz w:val="20"/>
                <w:szCs w:val="20"/>
              </w:rPr>
            </w:pPr>
          </w:p>
          <w:p w14:paraId="45EC2F3E" w14:textId="77777777" w:rsidR="000035B6" w:rsidRPr="001D41D6" w:rsidRDefault="000035B6" w:rsidP="000035B6">
            <w:pPr>
              <w:pStyle w:val="B2"/>
              <w:rPr>
                <w:iCs/>
                <w:sz w:val="20"/>
                <w:szCs w:val="20"/>
              </w:rPr>
            </w:pPr>
            <w:r w:rsidRPr="001D41D6">
              <w:rPr>
                <w:sz w:val="20"/>
                <w:szCs w:val="20"/>
              </w:rPr>
              <w:t>-</w:t>
            </w:r>
            <w:r w:rsidRPr="001D41D6">
              <w:rPr>
                <w:sz w:val="20"/>
                <w:szCs w:val="20"/>
              </w:rPr>
              <w:tab/>
              <w:t xml:space="preserve">If the UE is not provided </w:t>
            </w:r>
            <w:r w:rsidRPr="001D41D6">
              <w:rPr>
                <w:i/>
                <w:sz w:val="20"/>
                <w:szCs w:val="20"/>
              </w:rPr>
              <w:t>PUSCH-</w:t>
            </w:r>
            <w:proofErr w:type="spellStart"/>
            <w:r w:rsidRPr="001D41D6">
              <w:rPr>
                <w:i/>
                <w:sz w:val="20"/>
                <w:szCs w:val="20"/>
              </w:rPr>
              <w:t>PathlossReferenceRS</w:t>
            </w:r>
            <w:proofErr w:type="spellEnd"/>
            <w:r w:rsidRPr="001D41D6">
              <w:rPr>
                <w:rFonts w:eastAsia="MS Mincho"/>
                <w:sz w:val="20"/>
                <w:szCs w:val="20"/>
              </w:rPr>
              <w:t xml:space="preserve"> </w:t>
            </w:r>
            <w:r w:rsidRPr="001D41D6">
              <w:rPr>
                <w:sz w:val="20"/>
                <w:szCs w:val="20"/>
              </w:rPr>
              <w:t xml:space="preserve">and </w:t>
            </w:r>
            <w:proofErr w:type="spellStart"/>
            <w:r w:rsidRPr="001D41D6">
              <w:rPr>
                <w:i/>
                <w:iCs/>
                <w:sz w:val="20"/>
                <w:szCs w:val="20"/>
              </w:rPr>
              <w:t>enableDefaultBeamPL-ForSRS</w:t>
            </w:r>
            <w:proofErr w:type="spellEnd"/>
            <w:r w:rsidRPr="001D41D6">
              <w:rPr>
                <w:sz w:val="20"/>
                <w:szCs w:val="20"/>
              </w:rPr>
              <w:t>,</w:t>
            </w:r>
            <w:r w:rsidRPr="001D41D6">
              <w:rPr>
                <w:i/>
                <w:iCs/>
                <w:sz w:val="20"/>
                <w:szCs w:val="20"/>
              </w:rPr>
              <w:t xml:space="preserve"> </w:t>
            </w:r>
            <w:r w:rsidRPr="001D41D6">
              <w:rPr>
                <w:rFonts w:eastAsia="MS Mincho"/>
                <w:sz w:val="20"/>
                <w:szCs w:val="20"/>
              </w:rPr>
              <w:t>or before the UE is provided dedicated higher layer parameters</w:t>
            </w:r>
            <w:r w:rsidRPr="001D41D6">
              <w:rPr>
                <w:iCs/>
                <w:sz w:val="20"/>
                <w:szCs w:val="20"/>
              </w:rPr>
              <w:t xml:space="preserve">, the UE calculates </w:t>
            </w:r>
            <m:oMath>
              <m:sSub>
                <m:sSubPr>
                  <m:ctrlPr>
                    <w:rPr>
                      <w:rFonts w:ascii="Cambria Math" w:hAnsi="Cambria Math"/>
                      <w:i/>
                      <w:sz w:val="20"/>
                      <w:szCs w:val="20"/>
                    </w:rPr>
                  </m:ctrlPr>
                </m:sSubPr>
                <m:e>
                  <m:r>
                    <w:rPr>
                      <w:rFonts w:ascii="Cambria Math" w:hAnsi="Cambria Math"/>
                      <w:sz w:val="20"/>
                      <w:szCs w:val="20"/>
                    </w:rPr>
                    <m:t>PL</m:t>
                  </m:r>
                </m:e>
                <m:sub>
                  <m:r>
                    <w:rPr>
                      <w:rFonts w:ascii="Cambria Math" w:hAnsi="Cambria Math"/>
                      <w:sz w:val="20"/>
                      <w:szCs w:val="20"/>
                    </w:rPr>
                    <m:t>b,f,c</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q</m:t>
                  </m:r>
                </m:e>
                <m:sub>
                  <m:r>
                    <w:rPr>
                      <w:rFonts w:ascii="Cambria Math" w:hAnsi="Cambria Math"/>
                      <w:sz w:val="20"/>
                      <w:szCs w:val="20"/>
                    </w:rPr>
                    <m:t>d</m:t>
                  </m:r>
                </m:sub>
              </m:sSub>
              <m:r>
                <w:rPr>
                  <w:rFonts w:ascii="Cambria Math" w:hAnsi="Cambria Math"/>
                  <w:sz w:val="20"/>
                  <w:szCs w:val="20"/>
                </w:rPr>
                <m:t>)</m:t>
              </m:r>
            </m:oMath>
            <w:r w:rsidRPr="001D41D6">
              <w:rPr>
                <w:iCs/>
                <w:sz w:val="20"/>
                <w:szCs w:val="20"/>
              </w:rPr>
              <w:t xml:space="preserve"> </w:t>
            </w:r>
          </w:p>
          <w:p w14:paraId="10DD2F33" w14:textId="77777777" w:rsidR="000035B6" w:rsidRPr="001D41D6" w:rsidRDefault="000035B6" w:rsidP="000035B6">
            <w:pPr>
              <w:pStyle w:val="B3"/>
              <w:rPr>
                <w:i/>
                <w:sz w:val="20"/>
                <w:szCs w:val="20"/>
              </w:rPr>
            </w:pPr>
            <w:r w:rsidRPr="001D41D6">
              <w:rPr>
                <w:sz w:val="20"/>
                <w:szCs w:val="20"/>
              </w:rPr>
              <w:t>-</w:t>
            </w:r>
            <w:r w:rsidRPr="001D41D6">
              <w:rPr>
                <w:sz w:val="20"/>
                <w:szCs w:val="20"/>
              </w:rPr>
              <w:tab/>
              <w:t xml:space="preserve">using a RS resource from an SS/PBCH block </w:t>
            </w:r>
            <w:r w:rsidRPr="001D41D6">
              <w:rPr>
                <w:rFonts w:eastAsia="MS Mincho"/>
                <w:sz w:val="20"/>
                <w:szCs w:val="20"/>
              </w:rPr>
              <w:t>with same SS/PBCH block index as the one</w:t>
            </w:r>
            <w:r w:rsidRPr="001D41D6">
              <w:rPr>
                <w:sz w:val="20"/>
                <w:szCs w:val="20"/>
              </w:rPr>
              <w:t xml:space="preserve"> the UE uses to obtain </w:t>
            </w:r>
            <w:proofErr w:type="gramStart"/>
            <w:r w:rsidRPr="001D41D6">
              <w:rPr>
                <w:i/>
                <w:sz w:val="20"/>
                <w:szCs w:val="20"/>
              </w:rPr>
              <w:t>MIB</w:t>
            </w:r>
            <w:r w:rsidRPr="001D41D6">
              <w:rPr>
                <w:iCs/>
                <w:sz w:val="20"/>
                <w:szCs w:val="20"/>
              </w:rPr>
              <w:t>, or</w:t>
            </w:r>
            <w:proofErr w:type="gramEnd"/>
            <w:r w:rsidRPr="001D41D6">
              <w:rPr>
                <w:iCs/>
                <w:sz w:val="20"/>
                <w:szCs w:val="20"/>
              </w:rPr>
              <w:t xml:space="preserve"> using the SS/PBCH block the UE acquired the time and frequency synchronization for a secondary cell.</w:t>
            </w:r>
          </w:p>
          <w:p w14:paraId="10686A8F" w14:textId="242B834A" w:rsidR="000035B6" w:rsidRPr="001D41D6" w:rsidRDefault="000035B6" w:rsidP="000035B6">
            <w:pPr>
              <w:pStyle w:val="B3"/>
              <w:rPr>
                <w:i/>
                <w:sz w:val="20"/>
                <w:szCs w:val="20"/>
              </w:rPr>
            </w:pPr>
            <w:r w:rsidRPr="009061DC">
              <w:rPr>
                <w:sz w:val="20"/>
                <w:szCs w:val="20"/>
                <w:highlight w:val="yellow"/>
              </w:rPr>
              <w:t>-</w:t>
            </w:r>
            <w:r w:rsidRPr="009061DC">
              <w:rPr>
                <w:sz w:val="20"/>
                <w:szCs w:val="20"/>
                <w:highlight w:val="yellow"/>
              </w:rPr>
              <w:tab/>
              <w:t xml:space="preserve">if the UE is provided </w:t>
            </w:r>
            <w:r w:rsidRPr="009061DC">
              <w:rPr>
                <w:i/>
                <w:sz w:val="20"/>
                <w:szCs w:val="20"/>
                <w:highlight w:val="yellow"/>
              </w:rPr>
              <w:t>RACH-</w:t>
            </w:r>
            <w:proofErr w:type="spellStart"/>
            <w:r w:rsidRPr="009061DC">
              <w:rPr>
                <w:i/>
                <w:sz w:val="20"/>
                <w:szCs w:val="20"/>
                <w:highlight w:val="yellow"/>
              </w:rPr>
              <w:t>LessHO</w:t>
            </w:r>
            <w:proofErr w:type="spellEnd"/>
            <w:r w:rsidRPr="009061DC">
              <w:rPr>
                <w:sz w:val="20"/>
                <w:szCs w:val="20"/>
                <w:highlight w:val="yellow"/>
              </w:rPr>
              <w:t xml:space="preserve"> in </w:t>
            </w:r>
            <w:proofErr w:type="spellStart"/>
            <w:r w:rsidRPr="009061DC">
              <w:rPr>
                <w:i/>
                <w:sz w:val="20"/>
                <w:szCs w:val="20"/>
                <w:highlight w:val="yellow"/>
              </w:rPr>
              <w:t>ReconfigurationWithSync</w:t>
            </w:r>
            <w:proofErr w:type="spellEnd"/>
            <w:r w:rsidRPr="009061DC">
              <w:rPr>
                <w:sz w:val="20"/>
                <w:szCs w:val="20"/>
                <w:highlight w:val="yellow"/>
              </w:rPr>
              <w:t xml:space="preserve"> [12. TS 38.331], using a RS resource from an SS/PBCH block </w:t>
            </w:r>
            <w:r w:rsidRPr="009061DC">
              <w:rPr>
                <w:rFonts w:eastAsia="MS Mincho"/>
                <w:sz w:val="20"/>
                <w:szCs w:val="20"/>
                <w:highlight w:val="yellow"/>
              </w:rPr>
              <w:t xml:space="preserve">with same SS/PBCH block index as the one with same </w:t>
            </w:r>
            <w:r w:rsidRPr="009061DC">
              <w:rPr>
                <w:sz w:val="20"/>
                <w:szCs w:val="20"/>
                <w:highlight w:val="yellow"/>
              </w:rPr>
              <w:t xml:space="preserve">quasi co-location properties as for PDCCH receptions for scheduling an initial PUSCH transmission, as described in Clause 10.1, in </w:t>
            </w:r>
            <w:proofErr w:type="spellStart"/>
            <w:r w:rsidRPr="009061DC">
              <w:rPr>
                <w:i/>
                <w:sz w:val="20"/>
                <w:szCs w:val="20"/>
                <w:highlight w:val="yellow"/>
              </w:rPr>
              <w:t>controlResourceSetZero</w:t>
            </w:r>
            <w:proofErr w:type="spellEnd"/>
            <w:r w:rsidRPr="009061DC">
              <w:rPr>
                <w:sz w:val="20"/>
                <w:szCs w:val="20"/>
                <w:highlight w:val="yellow"/>
              </w:rPr>
              <w:t xml:space="preserve"> provided in </w:t>
            </w:r>
            <w:proofErr w:type="spellStart"/>
            <w:r w:rsidRPr="009061DC">
              <w:rPr>
                <w:i/>
                <w:sz w:val="20"/>
                <w:szCs w:val="20"/>
                <w:highlight w:val="yellow"/>
              </w:rPr>
              <w:t>ServingCellConfigCommon</w:t>
            </w:r>
            <w:proofErr w:type="spellEnd"/>
            <w:r w:rsidRPr="009061DC">
              <w:rPr>
                <w:sz w:val="20"/>
                <w:szCs w:val="20"/>
                <w:highlight w:val="yellow"/>
              </w:rPr>
              <w:t xml:space="preserve"> of </w:t>
            </w:r>
            <w:proofErr w:type="spellStart"/>
            <w:r w:rsidRPr="009061DC">
              <w:rPr>
                <w:i/>
                <w:sz w:val="20"/>
                <w:szCs w:val="20"/>
                <w:highlight w:val="yellow"/>
              </w:rPr>
              <w:t>ReconfigurationWithSync</w:t>
            </w:r>
            <w:proofErr w:type="spellEnd"/>
          </w:p>
          <w:p w14:paraId="13E8D251" w14:textId="77777777" w:rsidR="000035B6" w:rsidRPr="001D41D6" w:rsidRDefault="000035B6" w:rsidP="000035B6">
            <w:pPr>
              <w:pStyle w:val="B3"/>
              <w:rPr>
                <w:sz w:val="20"/>
                <w:szCs w:val="20"/>
              </w:rPr>
            </w:pPr>
          </w:p>
          <w:p w14:paraId="1A2DD3A7" w14:textId="76C5F5F4" w:rsidR="00CF308A" w:rsidRPr="005B408D" w:rsidRDefault="000035B6" w:rsidP="005B408D">
            <w:pPr>
              <w:jc w:val="center"/>
              <w:rPr>
                <w:lang w:eastAsia="zh-CN"/>
              </w:rPr>
            </w:pPr>
            <w:r w:rsidRPr="001D41D6">
              <w:rPr>
                <w:color w:val="FF0000"/>
                <w:sz w:val="20"/>
                <w:szCs w:val="20"/>
                <w:lang w:eastAsia="zh-CN"/>
              </w:rPr>
              <w:t xml:space="preserve">*** </w:t>
            </w:r>
            <w:r w:rsidRPr="001D41D6">
              <w:rPr>
                <w:color w:val="FF0000"/>
                <w:sz w:val="20"/>
                <w:szCs w:val="20"/>
              </w:rPr>
              <w:t>omitted</w:t>
            </w:r>
            <w:r w:rsidRPr="001D41D6">
              <w:rPr>
                <w:color w:val="FF0000"/>
                <w:sz w:val="20"/>
                <w:szCs w:val="20"/>
                <w:lang w:eastAsia="zh-CN"/>
              </w:rPr>
              <w:t xml:space="preserve"> </w:t>
            </w:r>
            <w:r w:rsidR="00826CEC">
              <w:rPr>
                <w:color w:val="FF0000"/>
                <w:sz w:val="20"/>
                <w:szCs w:val="20"/>
                <w:lang w:eastAsia="zh-CN"/>
              </w:rPr>
              <w:t>text</w:t>
            </w:r>
            <w:r w:rsidR="00032A62">
              <w:rPr>
                <w:color w:val="FF0000"/>
                <w:sz w:val="20"/>
                <w:szCs w:val="20"/>
                <w:lang w:eastAsia="zh-CN"/>
              </w:rPr>
              <w:t xml:space="preserve"> </w:t>
            </w:r>
            <w:r w:rsidRPr="001D41D6">
              <w:rPr>
                <w:color w:val="FF0000"/>
                <w:sz w:val="20"/>
                <w:szCs w:val="20"/>
                <w:lang w:eastAsia="zh-CN"/>
              </w:rPr>
              <w:t>***</w:t>
            </w:r>
          </w:p>
        </w:tc>
      </w:tr>
    </w:tbl>
    <w:p w14:paraId="6D4486AF" w14:textId="77777777" w:rsidR="00CF308A" w:rsidRDefault="00CF308A" w:rsidP="00563FE5">
      <w:pPr>
        <w:jc w:val="both"/>
        <w:rPr>
          <w:lang w:val="en-GB" w:eastAsia="ja-JP"/>
        </w:rPr>
      </w:pPr>
    </w:p>
    <w:p w14:paraId="06486DCB" w14:textId="2786690C" w:rsidR="00F45361" w:rsidRPr="003730D2" w:rsidRDefault="00B644C0" w:rsidP="00F45361">
      <w:pPr>
        <w:jc w:val="both"/>
      </w:pPr>
      <w:r>
        <w:rPr>
          <w:lang w:val="en-GB" w:eastAsia="ja-JP"/>
        </w:rPr>
        <w:t xml:space="preserve">Mobile-IAB has not been discussed in RAN1 during the normative phase and minor RAN1 updates were to be expected. </w:t>
      </w:r>
      <w:r w:rsidR="00F319F9">
        <w:rPr>
          <w:lang w:val="en-GB" w:eastAsia="ja-JP"/>
        </w:rPr>
        <w:t>The</w:t>
      </w:r>
      <w:r w:rsidR="00150A0A">
        <w:rPr>
          <w:lang w:val="en-GB" w:eastAsia="ja-JP"/>
        </w:rPr>
        <w:t xml:space="preserve"> present RAN1 specs</w:t>
      </w:r>
      <w:r w:rsidR="003730D2">
        <w:rPr>
          <w:lang w:val="en-GB" w:eastAsia="ja-JP"/>
        </w:rPr>
        <w:t xml:space="preserve"> already capture the UE behavior</w:t>
      </w:r>
      <w:r w:rsidR="00183C0E">
        <w:rPr>
          <w:lang w:val="en-GB" w:eastAsia="ja-JP"/>
        </w:rPr>
        <w:t>,</w:t>
      </w:r>
      <w:r w:rsidR="00F319F9">
        <w:rPr>
          <w:lang w:val="en-GB" w:eastAsia="ja-JP"/>
        </w:rPr>
        <w:t xml:space="preserve"> </w:t>
      </w:r>
      <w:r w:rsidR="00183C0E">
        <w:rPr>
          <w:lang w:val="en-GB" w:eastAsia="ja-JP"/>
        </w:rPr>
        <w:t>including configuration of SSB index during</w:t>
      </w:r>
      <w:r w:rsidR="00F319F9">
        <w:rPr>
          <w:lang w:val="en-GB" w:eastAsia="ja-JP"/>
        </w:rPr>
        <w:t xml:space="preserve"> RACH-less handover</w:t>
      </w:r>
      <w:r w:rsidR="003730D2">
        <w:rPr>
          <w:lang w:val="en-GB" w:eastAsia="ja-JP"/>
        </w:rPr>
        <w:t xml:space="preserve"> for NTN in Sec. 22 of TS 38.213</w:t>
      </w:r>
      <w:r w:rsidR="00183C0E">
        <w:rPr>
          <w:lang w:val="en-GB" w:eastAsia="ja-JP"/>
        </w:rPr>
        <w:t xml:space="preserve">, </w:t>
      </w:r>
      <w:r w:rsidR="003730D2">
        <w:rPr>
          <w:lang w:val="en-GB" w:eastAsia="ja-JP"/>
        </w:rPr>
        <w:t>while</w:t>
      </w:r>
      <w:r w:rsidR="00150A0A">
        <w:rPr>
          <w:lang w:val="en-GB" w:eastAsia="ja-JP"/>
        </w:rPr>
        <w:t xml:space="preserve"> </w:t>
      </w:r>
      <w:r>
        <w:rPr>
          <w:lang w:val="en-GB" w:eastAsia="ja-JP"/>
        </w:rPr>
        <w:t>they</w:t>
      </w:r>
      <w:r w:rsidR="00150A0A">
        <w:rPr>
          <w:lang w:val="en-GB" w:eastAsia="ja-JP"/>
        </w:rPr>
        <w:t xml:space="preserve"> do not meet the desirable behavior</w:t>
      </w:r>
      <w:r w:rsidR="003730D2">
        <w:rPr>
          <w:lang w:val="en-GB" w:eastAsia="ja-JP"/>
        </w:rPr>
        <w:t xml:space="preserve"> for TN and mobile-IAB</w:t>
      </w:r>
      <w:r w:rsidR="00150A0A">
        <w:rPr>
          <w:lang w:val="en-GB" w:eastAsia="ja-JP"/>
        </w:rPr>
        <w:t xml:space="preserve">. </w:t>
      </w:r>
      <w:r>
        <w:rPr>
          <w:lang w:val="en-GB" w:eastAsia="ja-JP"/>
        </w:rPr>
        <w:t>In our view</w:t>
      </w:r>
      <w:r w:rsidR="007D7D7C">
        <w:rPr>
          <w:lang w:val="en-GB" w:eastAsia="ja-JP"/>
        </w:rPr>
        <w:t xml:space="preserve">, </w:t>
      </w:r>
      <w:r w:rsidR="007D7D7C">
        <w:t>t</w:t>
      </w:r>
      <w:r w:rsidR="00F45361" w:rsidRPr="003730D2">
        <w:t xml:space="preserve">o </w:t>
      </w:r>
      <w:r>
        <w:t>minimize</w:t>
      </w:r>
      <w:r w:rsidR="00F45361" w:rsidRPr="003730D2">
        <w:t xml:space="preserve"> </w:t>
      </w:r>
      <w:r w:rsidR="00F45361">
        <w:t xml:space="preserve">the specification changes, it is </w:t>
      </w:r>
      <w:r w:rsidR="007D7D7C">
        <w:t>desirable</w:t>
      </w:r>
      <w:r w:rsidR="00F45361">
        <w:t xml:space="preserve"> to introduce necessary changes </w:t>
      </w:r>
      <w:r w:rsidR="007D7D7C">
        <w:t>corresponding to</w:t>
      </w:r>
      <w:r w:rsidR="006723A1">
        <w:t xml:space="preserve"> the behavior of</w:t>
      </w:r>
      <w:r w:rsidR="007D7D7C">
        <w:t xml:space="preserve"> TN UEs and mobile-IAB UEs </w:t>
      </w:r>
      <w:r w:rsidR="00F45361">
        <w:t>in Sec. 7.1.1 of TS 38.213.</w:t>
      </w:r>
    </w:p>
    <w:p w14:paraId="5440E37F" w14:textId="39F9199C" w:rsidR="006A4A36" w:rsidRPr="00A6376D" w:rsidRDefault="00A6376D" w:rsidP="00563FE5">
      <w:pPr>
        <w:pStyle w:val="Observation"/>
        <w:rPr>
          <w:lang w:val="en-GB"/>
        </w:rPr>
      </w:pPr>
      <w:bookmarkStart w:id="3" w:name="_Toc210410698"/>
      <w:r>
        <w:rPr>
          <w:lang w:val="en-GB"/>
        </w:rPr>
        <w:t>According to the RAN2 LS, RACH-less handover may be undertaken for TN UEs, mobile-IAB UEs and NTN UEs.</w:t>
      </w:r>
      <w:bookmarkEnd w:id="3"/>
    </w:p>
    <w:p w14:paraId="245EB124" w14:textId="370CF78C" w:rsidR="006E7D8D" w:rsidRDefault="006E7D8D" w:rsidP="00922474">
      <w:pPr>
        <w:pStyle w:val="Observation"/>
        <w:rPr>
          <w:lang w:val="en-GB"/>
        </w:rPr>
      </w:pPr>
      <w:bookmarkStart w:id="4" w:name="_Toc210410699"/>
      <w:r>
        <w:rPr>
          <w:lang w:val="en-GB"/>
        </w:rPr>
        <w:t xml:space="preserve">The desired behavior </w:t>
      </w:r>
      <w:r w:rsidR="008C05EE">
        <w:rPr>
          <w:lang w:val="en-GB"/>
        </w:rPr>
        <w:t xml:space="preserve">for TN and mobile-IAB </w:t>
      </w:r>
      <w:r>
        <w:rPr>
          <w:lang w:val="en-GB"/>
        </w:rPr>
        <w:t xml:space="preserve">as explained by the RAN2 LS is </w:t>
      </w:r>
      <w:r w:rsidR="00C16A8C">
        <w:rPr>
          <w:lang w:val="en-GB"/>
        </w:rPr>
        <w:t xml:space="preserve">presently </w:t>
      </w:r>
      <w:r>
        <w:rPr>
          <w:lang w:val="en-GB"/>
        </w:rPr>
        <w:t>not captured in the RAN1 specs</w:t>
      </w:r>
      <w:r w:rsidR="00AA49EE">
        <w:rPr>
          <w:lang w:val="en-GB"/>
        </w:rPr>
        <w:t xml:space="preserve"> while for NTN is already captured in the RAN1 specs</w:t>
      </w:r>
      <w:r>
        <w:rPr>
          <w:lang w:val="en-GB"/>
        </w:rPr>
        <w:t>.</w:t>
      </w:r>
      <w:bookmarkEnd w:id="4"/>
    </w:p>
    <w:p w14:paraId="30E9FC8A" w14:textId="74BF15F4" w:rsidR="006E7D8D" w:rsidRDefault="00150A0A" w:rsidP="00922474">
      <w:pPr>
        <w:pStyle w:val="Observation"/>
        <w:rPr>
          <w:lang w:val="en-GB"/>
        </w:rPr>
      </w:pPr>
      <w:bookmarkStart w:id="5" w:name="_Toc210410700"/>
      <w:r>
        <w:rPr>
          <w:lang w:val="en-GB"/>
        </w:rPr>
        <w:t xml:space="preserve">Since RAN1 #122 does not treat pre-Rel-19 topics, companies </w:t>
      </w:r>
      <w:r w:rsidR="006E7D8D">
        <w:rPr>
          <w:lang w:val="en-GB"/>
        </w:rPr>
        <w:t xml:space="preserve">may return in RAN1 #122-bis with CRs relating to this </w:t>
      </w:r>
      <w:r w:rsidR="00C16A8C">
        <w:rPr>
          <w:lang w:val="en-GB"/>
        </w:rPr>
        <w:t>LS</w:t>
      </w:r>
      <w:r w:rsidR="006E7D8D">
        <w:rPr>
          <w:lang w:val="en-GB"/>
        </w:rPr>
        <w:t>.</w:t>
      </w:r>
      <w:bookmarkEnd w:id="5"/>
    </w:p>
    <w:p w14:paraId="7587FF96" w14:textId="0FE2ACC9" w:rsidR="006E7D8D" w:rsidRPr="007D7D7C" w:rsidRDefault="007D7D7C" w:rsidP="006723A1">
      <w:pPr>
        <w:pStyle w:val="Proposal"/>
      </w:pPr>
      <w:bookmarkStart w:id="6" w:name="_Toc210410701"/>
      <w:r w:rsidRPr="007D7D7C">
        <w:t xml:space="preserve">To limit the specification changes, RAN1 to introduce necessary changes </w:t>
      </w:r>
      <w:r w:rsidR="006723A1">
        <w:t>corresponding to the behavior of TN UEs and mobile-IAB UEs in Sec. 7.1.1 of TS 38.213.</w:t>
      </w:r>
      <w:bookmarkEnd w:id="6"/>
    </w:p>
    <w:p w14:paraId="0E1C664A" w14:textId="6BD8709D" w:rsidR="004C75CC" w:rsidRDefault="009066D6" w:rsidP="006A4A36">
      <w:pPr>
        <w:pStyle w:val="Proposal"/>
        <w:rPr>
          <w:lang w:val="en-GB" w:eastAsia="ja-JP"/>
        </w:rPr>
      </w:pPr>
      <w:bookmarkStart w:id="7" w:name="_Toc210410702"/>
      <w:r>
        <w:rPr>
          <w:lang w:val="en-GB" w:eastAsia="ja-JP"/>
        </w:rPr>
        <w:t>Ad</w:t>
      </w:r>
      <w:r w:rsidR="004C75CC">
        <w:rPr>
          <w:lang w:val="en-GB" w:eastAsia="ja-JP"/>
        </w:rPr>
        <w:t xml:space="preserve">opt </w:t>
      </w:r>
      <w:r w:rsidR="00893B96">
        <w:rPr>
          <w:lang w:val="en-GB" w:eastAsia="ja-JP"/>
        </w:rPr>
        <w:t>the</w:t>
      </w:r>
      <w:r w:rsidR="004C75CC">
        <w:rPr>
          <w:lang w:val="en-GB" w:eastAsia="ja-JP"/>
        </w:rPr>
        <w:t xml:space="preserve"> </w:t>
      </w:r>
      <w:r w:rsidR="00893B96">
        <w:rPr>
          <w:lang w:val="en-GB" w:eastAsia="ja-JP"/>
        </w:rPr>
        <w:t xml:space="preserve">Draft </w:t>
      </w:r>
      <w:r w:rsidR="004C75CC">
        <w:rPr>
          <w:lang w:val="en-GB" w:eastAsia="ja-JP"/>
        </w:rPr>
        <w:t>CR</w:t>
      </w:r>
      <w:r w:rsidR="006723A1">
        <w:rPr>
          <w:lang w:val="en-GB" w:eastAsia="ja-JP"/>
        </w:rPr>
        <w:t>s</w:t>
      </w:r>
      <w:r w:rsidR="00000F43">
        <w:rPr>
          <w:lang w:val="en-GB" w:eastAsia="ja-JP"/>
        </w:rPr>
        <w:t xml:space="preserve"> in</w:t>
      </w:r>
      <w:r w:rsidR="004C75CC">
        <w:rPr>
          <w:lang w:val="en-GB" w:eastAsia="ja-JP"/>
        </w:rPr>
        <w:t xml:space="preserve"> </w:t>
      </w:r>
      <w:r w:rsidR="00000F43" w:rsidRPr="00000F43">
        <w:rPr>
          <w:lang w:val="en-GB" w:eastAsia="ja-JP"/>
        </w:rPr>
        <w:t>R1-2507893</w:t>
      </w:r>
      <w:r w:rsidR="00000F43">
        <w:rPr>
          <w:lang w:val="en-GB" w:eastAsia="ja-JP"/>
        </w:rPr>
        <w:t xml:space="preserve"> and </w:t>
      </w:r>
      <w:r w:rsidR="00000F43" w:rsidRPr="00000F43">
        <w:rPr>
          <w:lang w:val="en-GB" w:eastAsia="ja-JP"/>
        </w:rPr>
        <w:t>R1-250789</w:t>
      </w:r>
      <w:r w:rsidR="00000F43">
        <w:rPr>
          <w:lang w:val="en-GB" w:eastAsia="ja-JP"/>
        </w:rPr>
        <w:t>4, which correspond to Rel-18 and Rel-19 versions of TS 38.213, respectively.</w:t>
      </w:r>
      <w:bookmarkEnd w:id="7"/>
    </w:p>
    <w:p w14:paraId="3879E8F8" w14:textId="7F1F216A" w:rsidR="00C473A5" w:rsidRDefault="00C473A5" w:rsidP="006D51B8">
      <w:pPr>
        <w:sectPr w:rsidR="00C473A5" w:rsidSect="00AC22FB">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pPr>
    </w:p>
    <w:p w14:paraId="37EB5693" w14:textId="77777777" w:rsidR="00C01F33" w:rsidRPr="00CE0424" w:rsidRDefault="00C01F33" w:rsidP="00CE0424">
      <w:pPr>
        <w:pStyle w:val="Heading1"/>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20AB52E" w14:textId="77777777" w:rsidR="000307B2" w:rsidRDefault="006F658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10410698" w:history="1">
        <w:r w:rsidR="000307B2" w:rsidRPr="00172FFB">
          <w:rPr>
            <w:rStyle w:val="Hyperlink"/>
            <w:noProof/>
            <w:lang w:val="en-GB"/>
          </w:rPr>
          <w:t>Observation 1</w:t>
        </w:r>
        <w:r w:rsidR="000307B2">
          <w:rPr>
            <w:rFonts w:asciiTheme="minorHAnsi" w:eastAsiaTheme="minorEastAsia" w:hAnsiTheme="minorHAnsi"/>
            <w:b w:val="0"/>
            <w:noProof/>
            <w:kern w:val="2"/>
            <w:sz w:val="24"/>
            <w:szCs w:val="24"/>
            <w:lang w:eastAsia="en-US"/>
            <w14:ligatures w14:val="standardContextual"/>
          </w:rPr>
          <w:tab/>
        </w:r>
        <w:r w:rsidR="000307B2" w:rsidRPr="00172FFB">
          <w:rPr>
            <w:rStyle w:val="Hyperlink"/>
            <w:noProof/>
            <w:lang w:val="en-GB"/>
          </w:rPr>
          <w:t>According to the RAN2 LS, RACH-less handover may be undertaken for TN UEs, mobile-IAB UEs and NTN UEs.</w:t>
        </w:r>
      </w:hyperlink>
    </w:p>
    <w:p w14:paraId="2FD582D9" w14:textId="77777777" w:rsidR="000307B2" w:rsidRDefault="000307B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0410699" w:history="1">
        <w:r w:rsidRPr="00172FFB">
          <w:rPr>
            <w:rStyle w:val="Hyperlink"/>
            <w:noProof/>
            <w:lang w:val="en-GB"/>
          </w:rPr>
          <w:t>Observation 2</w:t>
        </w:r>
        <w:r>
          <w:rPr>
            <w:rFonts w:asciiTheme="minorHAnsi" w:eastAsiaTheme="minorEastAsia" w:hAnsiTheme="minorHAnsi"/>
            <w:b w:val="0"/>
            <w:noProof/>
            <w:kern w:val="2"/>
            <w:sz w:val="24"/>
            <w:szCs w:val="24"/>
            <w:lang w:eastAsia="en-US"/>
            <w14:ligatures w14:val="standardContextual"/>
          </w:rPr>
          <w:tab/>
        </w:r>
        <w:r w:rsidRPr="00172FFB">
          <w:rPr>
            <w:rStyle w:val="Hyperlink"/>
            <w:noProof/>
            <w:lang w:val="en-GB"/>
          </w:rPr>
          <w:t>The desired behavior for TN and mobile-IAB as explained by the RAN2 LS is presently not captured in the RAN1 specs while for NTN is already captured in the RAN1 specs.</w:t>
        </w:r>
      </w:hyperlink>
    </w:p>
    <w:p w14:paraId="2D099035" w14:textId="77777777" w:rsidR="000307B2" w:rsidRDefault="000307B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0410700" w:history="1">
        <w:r w:rsidRPr="00172FFB">
          <w:rPr>
            <w:rStyle w:val="Hyperlink"/>
            <w:noProof/>
            <w:lang w:val="en-GB"/>
          </w:rPr>
          <w:t>Observation 3</w:t>
        </w:r>
        <w:r>
          <w:rPr>
            <w:rFonts w:asciiTheme="minorHAnsi" w:eastAsiaTheme="minorEastAsia" w:hAnsiTheme="minorHAnsi"/>
            <w:b w:val="0"/>
            <w:noProof/>
            <w:kern w:val="2"/>
            <w:sz w:val="24"/>
            <w:szCs w:val="24"/>
            <w:lang w:eastAsia="en-US"/>
            <w14:ligatures w14:val="standardContextual"/>
          </w:rPr>
          <w:tab/>
        </w:r>
        <w:r w:rsidRPr="00172FFB">
          <w:rPr>
            <w:rStyle w:val="Hyperlink"/>
            <w:noProof/>
            <w:lang w:val="en-GB"/>
          </w:rPr>
          <w:t>Since RAN1 #122 does not treat pre-Rel-19 topics, companies may return in RAN1 #122-bis with CRs relating to this LS.</w:t>
        </w:r>
      </w:hyperlink>
    </w:p>
    <w:p w14:paraId="7D91EC5D" w14:textId="62EDFEC5" w:rsidR="006E1C82" w:rsidRDefault="006F6582" w:rsidP="006D51B8">
      <w:pPr>
        <w:pStyle w:val="BodyText"/>
        <w:rPr>
          <w:b/>
          <w:bCs/>
        </w:rPr>
      </w:pPr>
      <w:r>
        <w:rPr>
          <w:b/>
          <w:bCs/>
        </w:rPr>
        <w:fldChar w:fldCharType="end"/>
      </w: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28259FB" w14:textId="77777777" w:rsidR="000307B2" w:rsidRDefault="006E1C8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10410701" w:history="1">
        <w:r w:rsidR="000307B2" w:rsidRPr="00391F97">
          <w:rPr>
            <w:rStyle w:val="Hyperlink"/>
            <w:noProof/>
          </w:rPr>
          <w:t>Proposal 1</w:t>
        </w:r>
        <w:r w:rsidR="000307B2">
          <w:rPr>
            <w:rFonts w:asciiTheme="minorHAnsi" w:eastAsiaTheme="minorEastAsia" w:hAnsiTheme="minorHAnsi"/>
            <w:b w:val="0"/>
            <w:noProof/>
            <w:kern w:val="2"/>
            <w:sz w:val="24"/>
            <w:szCs w:val="24"/>
            <w:lang w:eastAsia="en-US"/>
            <w14:ligatures w14:val="standardContextual"/>
          </w:rPr>
          <w:tab/>
        </w:r>
        <w:r w:rsidR="000307B2" w:rsidRPr="00391F97">
          <w:rPr>
            <w:rStyle w:val="Hyperlink"/>
            <w:noProof/>
          </w:rPr>
          <w:t>To limit the specification changes, RAN1 to introduce necessary changes corresponding to the behavior of TN UEs and mobile-IAB UEs in Sec. 7.1.1 of TS 38.213.</w:t>
        </w:r>
      </w:hyperlink>
    </w:p>
    <w:p w14:paraId="1DC2D82A" w14:textId="77777777" w:rsidR="000307B2" w:rsidRDefault="000307B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0410702" w:history="1">
        <w:r w:rsidRPr="00391F97">
          <w:rPr>
            <w:rStyle w:val="Hyperlink"/>
            <w:noProof/>
            <w:lang w:val="en-GB" w:eastAsia="ja-JP"/>
          </w:rPr>
          <w:t>Proposal 2</w:t>
        </w:r>
        <w:r>
          <w:rPr>
            <w:rFonts w:asciiTheme="minorHAnsi" w:eastAsiaTheme="minorEastAsia" w:hAnsiTheme="minorHAnsi"/>
            <w:b w:val="0"/>
            <w:noProof/>
            <w:kern w:val="2"/>
            <w:sz w:val="24"/>
            <w:szCs w:val="24"/>
            <w:lang w:eastAsia="en-US"/>
            <w14:ligatures w14:val="standardContextual"/>
          </w:rPr>
          <w:tab/>
        </w:r>
        <w:r w:rsidRPr="00391F97">
          <w:rPr>
            <w:rStyle w:val="Hyperlink"/>
            <w:noProof/>
            <w:lang w:val="en-GB" w:eastAsia="ja-JP"/>
          </w:rPr>
          <w:t>Adopt the Draft CRs in R1-2507893 and R1-2507894, which correspond to Rel-18 and Rel-19 versions of TS 38.213, respectively.</w:t>
        </w:r>
      </w:hyperlink>
    </w:p>
    <w:p w14:paraId="58ACA235" w14:textId="56EB7EE6" w:rsidR="00C01F33" w:rsidRPr="00CE0424" w:rsidRDefault="006E1C82" w:rsidP="006E062C">
      <w:r>
        <w:rPr>
          <w:b/>
          <w:bCs/>
          <w:lang w:eastAsia="zh-CN"/>
        </w:rPr>
        <w:fldChar w:fldCharType="end"/>
      </w:r>
    </w:p>
    <w:p w14:paraId="71D79D99" w14:textId="77777777" w:rsidR="00F507D1" w:rsidRPr="00CE0424" w:rsidRDefault="00F507D1" w:rsidP="00CE0424">
      <w:pPr>
        <w:pStyle w:val="Heading1"/>
      </w:pPr>
      <w:bookmarkStart w:id="8" w:name="_In-sequence_SDU_delivery"/>
      <w:bookmarkEnd w:id="8"/>
      <w:r w:rsidRPr="00CE0424">
        <w:t>References</w:t>
      </w:r>
    </w:p>
    <w:p w14:paraId="098B644B" w14:textId="77777777" w:rsidR="006D51B8" w:rsidRPr="00CE0424" w:rsidRDefault="006D51B8" w:rsidP="006D51B8">
      <w:pPr>
        <w:pStyle w:val="Reference"/>
      </w:pPr>
      <w:bookmarkStart w:id="9" w:name="_Ref205977020"/>
      <w:bookmarkStart w:id="10" w:name="_Ref174151459"/>
      <w:bookmarkStart w:id="11" w:name="_Ref189809556"/>
      <w:r w:rsidRPr="00D403AB">
        <w:t>R1-2505120</w:t>
      </w:r>
      <w:r>
        <w:t xml:space="preserve"> (</w:t>
      </w:r>
      <w:r w:rsidRPr="00D403AB">
        <w:t>R2-2504897</w:t>
      </w:r>
      <w:r>
        <w:t>), “</w:t>
      </w:r>
      <w:r w:rsidRPr="00D403AB">
        <w:t>LS on RACH-less handover</w:t>
      </w:r>
      <w:r>
        <w:t>,” RAN2, NEC, RAN1 #122, August 2025.</w:t>
      </w:r>
      <w:bookmarkEnd w:id="9"/>
    </w:p>
    <w:bookmarkEnd w:id="10"/>
    <w:bookmarkEnd w:id="11"/>
    <w:p w14:paraId="715CA09B"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E5955" w14:textId="77777777" w:rsidR="0043708C" w:rsidRDefault="0043708C">
      <w:r>
        <w:separator/>
      </w:r>
    </w:p>
  </w:endnote>
  <w:endnote w:type="continuationSeparator" w:id="0">
    <w:p w14:paraId="55A6B4EB" w14:textId="77777777" w:rsidR="0043708C" w:rsidRDefault="0043708C">
      <w:r>
        <w:continuationSeparator/>
      </w:r>
    </w:p>
  </w:endnote>
  <w:endnote w:type="continuationNotice" w:id="1">
    <w:p w14:paraId="3CFAE8BD" w14:textId="77777777" w:rsidR="0043708C" w:rsidRDefault="004370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7E7162" w14:textId="77777777" w:rsidR="0043708C" w:rsidRDefault="0043708C">
      <w:r>
        <w:separator/>
      </w:r>
    </w:p>
  </w:footnote>
  <w:footnote w:type="continuationSeparator" w:id="0">
    <w:p w14:paraId="0D3B8445" w14:textId="77777777" w:rsidR="0043708C" w:rsidRDefault="0043708C">
      <w:r>
        <w:continuationSeparator/>
      </w:r>
    </w:p>
  </w:footnote>
  <w:footnote w:type="continuationNotice" w:id="1">
    <w:p w14:paraId="30A90F75" w14:textId="77777777" w:rsidR="0043708C" w:rsidRDefault="0043708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C57C1F"/>
    <w:multiLevelType w:val="hybridMultilevel"/>
    <w:tmpl w:val="59DCAD96"/>
    <w:lvl w:ilvl="0" w:tplc="62AA83A2">
      <w:start w:val="7"/>
      <w:numFmt w:val="bullet"/>
      <w:lvlText w:val=""/>
      <w:lvlJc w:val="left"/>
      <w:pPr>
        <w:ind w:left="720" w:hanging="360"/>
      </w:pPr>
      <w:rPr>
        <w:rFonts w:ascii="Symbol" w:eastAsiaTheme="minorHAnsi" w:hAnsi="Symbol"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C7C3178"/>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0"/>
        </w:tabs>
        <w:ind w:left="180" w:hanging="360"/>
      </w:pPr>
      <w:rPr>
        <w:rFonts w:ascii="Courier New" w:hAnsi="Courier New" w:cs="Courier New" w:hint="default"/>
      </w:rPr>
    </w:lvl>
    <w:lvl w:ilvl="2" w:tplc="04090005">
      <w:start w:val="1"/>
      <w:numFmt w:val="bullet"/>
      <w:lvlText w:val=""/>
      <w:lvlJc w:val="left"/>
      <w:pPr>
        <w:tabs>
          <w:tab w:val="num" w:pos="900"/>
        </w:tabs>
        <w:ind w:left="900" w:hanging="360"/>
      </w:pPr>
      <w:rPr>
        <w:rFonts w:ascii="Wingdings" w:hAnsi="Wingdings" w:hint="default"/>
      </w:rPr>
    </w:lvl>
    <w:lvl w:ilvl="3" w:tplc="04090001">
      <w:start w:val="1"/>
      <w:numFmt w:val="bullet"/>
      <w:lvlText w:val=""/>
      <w:lvlJc w:val="left"/>
      <w:pPr>
        <w:tabs>
          <w:tab w:val="num" w:pos="1620"/>
        </w:tabs>
        <w:ind w:left="1620" w:hanging="360"/>
      </w:pPr>
      <w:rPr>
        <w:rFonts w:ascii="Symbol" w:hAnsi="Symbol" w:hint="default"/>
      </w:rPr>
    </w:lvl>
    <w:lvl w:ilvl="4" w:tplc="04090003">
      <w:start w:val="1"/>
      <w:numFmt w:val="bullet"/>
      <w:lvlText w:val="o"/>
      <w:lvlJc w:val="left"/>
      <w:pPr>
        <w:tabs>
          <w:tab w:val="num" w:pos="2340"/>
        </w:tabs>
        <w:ind w:left="2340" w:hanging="360"/>
      </w:pPr>
      <w:rPr>
        <w:rFonts w:ascii="Courier New" w:hAnsi="Courier New" w:cs="Courier New" w:hint="default"/>
      </w:rPr>
    </w:lvl>
    <w:lvl w:ilvl="5" w:tplc="04090005">
      <w:start w:val="1"/>
      <w:numFmt w:val="bullet"/>
      <w:lvlText w:val=""/>
      <w:lvlJc w:val="left"/>
      <w:pPr>
        <w:tabs>
          <w:tab w:val="num" w:pos="3060"/>
        </w:tabs>
        <w:ind w:left="3060" w:hanging="360"/>
      </w:pPr>
      <w:rPr>
        <w:rFonts w:ascii="Wingdings" w:hAnsi="Wingdings" w:hint="default"/>
      </w:rPr>
    </w:lvl>
    <w:lvl w:ilvl="6" w:tplc="04090001">
      <w:start w:val="1"/>
      <w:numFmt w:val="bullet"/>
      <w:lvlText w:val=""/>
      <w:lvlJc w:val="left"/>
      <w:pPr>
        <w:tabs>
          <w:tab w:val="num" w:pos="3780"/>
        </w:tabs>
        <w:ind w:left="3780" w:hanging="360"/>
      </w:pPr>
      <w:rPr>
        <w:rFonts w:ascii="Symbol" w:hAnsi="Symbol" w:hint="default"/>
      </w:rPr>
    </w:lvl>
    <w:lvl w:ilvl="7" w:tplc="04090003">
      <w:start w:val="1"/>
      <w:numFmt w:val="bullet"/>
      <w:lvlText w:val="o"/>
      <w:lvlJc w:val="left"/>
      <w:pPr>
        <w:tabs>
          <w:tab w:val="num" w:pos="4500"/>
        </w:tabs>
        <w:ind w:left="4500" w:hanging="360"/>
      </w:pPr>
      <w:rPr>
        <w:rFonts w:ascii="Courier New" w:hAnsi="Courier New" w:cs="Courier New" w:hint="default"/>
      </w:rPr>
    </w:lvl>
    <w:lvl w:ilvl="8" w:tplc="04090005">
      <w:start w:val="1"/>
      <w:numFmt w:val="bullet"/>
      <w:lvlText w:val=""/>
      <w:lvlJc w:val="left"/>
      <w:pPr>
        <w:tabs>
          <w:tab w:val="num" w:pos="5220"/>
        </w:tabs>
        <w:ind w:left="5220" w:hanging="360"/>
      </w:pPr>
      <w:rPr>
        <w:rFonts w:ascii="Wingdings" w:hAnsi="Wingdings" w:hint="default"/>
      </w:r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119758996">
    <w:abstractNumId w:val="3"/>
  </w:num>
  <w:num w:numId="2" w16cid:durableId="355155966">
    <w:abstractNumId w:val="16"/>
  </w:num>
  <w:num w:numId="3" w16cid:durableId="1913851990">
    <w:abstractNumId w:val="11"/>
  </w:num>
  <w:num w:numId="4" w16cid:durableId="2090736220">
    <w:abstractNumId w:val="12"/>
  </w:num>
  <w:num w:numId="5" w16cid:durableId="674647555">
    <w:abstractNumId w:val="8"/>
  </w:num>
  <w:num w:numId="6" w16cid:durableId="1498110781">
    <w:abstractNumId w:val="15"/>
  </w:num>
  <w:num w:numId="7" w16cid:durableId="1084961623">
    <w:abstractNumId w:val="20"/>
  </w:num>
  <w:num w:numId="8" w16cid:durableId="2086880802">
    <w:abstractNumId w:val="9"/>
  </w:num>
  <w:num w:numId="9" w16cid:durableId="1576015632">
    <w:abstractNumId w:val="7"/>
  </w:num>
  <w:num w:numId="10" w16cid:durableId="2126541449">
    <w:abstractNumId w:val="2"/>
  </w:num>
  <w:num w:numId="11" w16cid:durableId="693337342">
    <w:abstractNumId w:val="1"/>
  </w:num>
  <w:num w:numId="12" w16cid:durableId="1916816155">
    <w:abstractNumId w:val="0"/>
  </w:num>
  <w:num w:numId="13" w16cid:durableId="1591889704">
    <w:abstractNumId w:val="17"/>
  </w:num>
  <w:num w:numId="14" w16cid:durableId="16199632">
    <w:abstractNumId w:val="18"/>
  </w:num>
  <w:num w:numId="15" w16cid:durableId="298389984">
    <w:abstractNumId w:val="13"/>
  </w:num>
  <w:num w:numId="16" w16cid:durableId="1337730544">
    <w:abstractNumId w:val="21"/>
  </w:num>
  <w:num w:numId="17" w16cid:durableId="561411510">
    <w:abstractNumId w:val="5"/>
  </w:num>
  <w:num w:numId="18" w16cid:durableId="1204906343">
    <w:abstractNumId w:val="6"/>
  </w:num>
  <w:num w:numId="19" w16cid:durableId="578713189">
    <w:abstractNumId w:val="4"/>
  </w:num>
  <w:num w:numId="20" w16cid:durableId="1661736935">
    <w:abstractNumId w:val="25"/>
  </w:num>
  <w:num w:numId="21" w16cid:durableId="1200509507">
    <w:abstractNumId w:val="10"/>
  </w:num>
  <w:num w:numId="22" w16cid:durableId="1050613117">
    <w:abstractNumId w:val="23"/>
  </w:num>
  <w:num w:numId="23" w16cid:durableId="305624043">
    <w:abstractNumId w:val="22"/>
  </w:num>
  <w:num w:numId="24" w16cid:durableId="1867131685">
    <w:abstractNumId w:val="19"/>
  </w:num>
  <w:num w:numId="25" w16cid:durableId="1088843026">
    <w:abstractNumId w:val="24"/>
  </w:num>
  <w:num w:numId="26" w16cid:durableId="352416119">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8"/>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F43"/>
    <w:rsid w:val="00002A37"/>
    <w:rsid w:val="000035B6"/>
    <w:rsid w:val="0000564C"/>
    <w:rsid w:val="00006446"/>
    <w:rsid w:val="00006896"/>
    <w:rsid w:val="00007CDC"/>
    <w:rsid w:val="00011B28"/>
    <w:rsid w:val="00015D15"/>
    <w:rsid w:val="0002564D"/>
    <w:rsid w:val="00025ECA"/>
    <w:rsid w:val="000307B2"/>
    <w:rsid w:val="000325B8"/>
    <w:rsid w:val="00032A62"/>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488A"/>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26D6"/>
    <w:rsid w:val="000F06D6"/>
    <w:rsid w:val="000F0EB1"/>
    <w:rsid w:val="000F1106"/>
    <w:rsid w:val="000F180D"/>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0A0A"/>
    <w:rsid w:val="00151E23"/>
    <w:rsid w:val="001526E0"/>
    <w:rsid w:val="001551B5"/>
    <w:rsid w:val="001659C1"/>
    <w:rsid w:val="00173A8E"/>
    <w:rsid w:val="0017502C"/>
    <w:rsid w:val="0018143F"/>
    <w:rsid w:val="00181FF8"/>
    <w:rsid w:val="00183C0E"/>
    <w:rsid w:val="00190AC1"/>
    <w:rsid w:val="0019341A"/>
    <w:rsid w:val="00197DF9"/>
    <w:rsid w:val="001A1987"/>
    <w:rsid w:val="001A2564"/>
    <w:rsid w:val="001A6173"/>
    <w:rsid w:val="001A6CBA"/>
    <w:rsid w:val="001B0D97"/>
    <w:rsid w:val="001B5A5D"/>
    <w:rsid w:val="001C1CE5"/>
    <w:rsid w:val="001C3D2A"/>
    <w:rsid w:val="001D41D6"/>
    <w:rsid w:val="001D51BA"/>
    <w:rsid w:val="001D53E7"/>
    <w:rsid w:val="001D6342"/>
    <w:rsid w:val="001D6D53"/>
    <w:rsid w:val="001E245B"/>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2C2C"/>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578E"/>
    <w:rsid w:val="002B24D6"/>
    <w:rsid w:val="002C41E6"/>
    <w:rsid w:val="002D071A"/>
    <w:rsid w:val="002D34B2"/>
    <w:rsid w:val="002D48B0"/>
    <w:rsid w:val="002D5B37"/>
    <w:rsid w:val="002D7637"/>
    <w:rsid w:val="002E17F2"/>
    <w:rsid w:val="002E7CAE"/>
    <w:rsid w:val="002F13E4"/>
    <w:rsid w:val="002F2771"/>
    <w:rsid w:val="002F37A9"/>
    <w:rsid w:val="00301CE6"/>
    <w:rsid w:val="0030256B"/>
    <w:rsid w:val="0030501F"/>
    <w:rsid w:val="00307BA1"/>
    <w:rsid w:val="00310DAC"/>
    <w:rsid w:val="00311702"/>
    <w:rsid w:val="00311E82"/>
    <w:rsid w:val="00313FD6"/>
    <w:rsid w:val="003143BD"/>
    <w:rsid w:val="00315363"/>
    <w:rsid w:val="003203ED"/>
    <w:rsid w:val="00322C9F"/>
    <w:rsid w:val="00324D23"/>
    <w:rsid w:val="00331751"/>
    <w:rsid w:val="00334579"/>
    <w:rsid w:val="0033560A"/>
    <w:rsid w:val="00335858"/>
    <w:rsid w:val="00336BDA"/>
    <w:rsid w:val="00342BD7"/>
    <w:rsid w:val="0034409C"/>
    <w:rsid w:val="00345823"/>
    <w:rsid w:val="00346DB5"/>
    <w:rsid w:val="003477B1"/>
    <w:rsid w:val="00357380"/>
    <w:rsid w:val="003602D9"/>
    <w:rsid w:val="003604CE"/>
    <w:rsid w:val="00370E47"/>
    <w:rsid w:val="003730D2"/>
    <w:rsid w:val="003732F1"/>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6F8E"/>
    <w:rsid w:val="003B7FE5"/>
    <w:rsid w:val="003C11C8"/>
    <w:rsid w:val="003C2702"/>
    <w:rsid w:val="003C7806"/>
    <w:rsid w:val="003D109F"/>
    <w:rsid w:val="003D2478"/>
    <w:rsid w:val="003D3C45"/>
    <w:rsid w:val="003D5B1F"/>
    <w:rsid w:val="003E15FA"/>
    <w:rsid w:val="003E2161"/>
    <w:rsid w:val="003E55E4"/>
    <w:rsid w:val="003E74E3"/>
    <w:rsid w:val="003F05C7"/>
    <w:rsid w:val="003F2CD4"/>
    <w:rsid w:val="003F3D2E"/>
    <w:rsid w:val="003F6BBE"/>
    <w:rsid w:val="004000E8"/>
    <w:rsid w:val="00401520"/>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08C"/>
    <w:rsid w:val="00437447"/>
    <w:rsid w:val="00441A92"/>
    <w:rsid w:val="004431DC"/>
    <w:rsid w:val="00444F56"/>
    <w:rsid w:val="00446488"/>
    <w:rsid w:val="004517AA"/>
    <w:rsid w:val="00452CAC"/>
    <w:rsid w:val="00457565"/>
    <w:rsid w:val="00457B71"/>
    <w:rsid w:val="00464689"/>
    <w:rsid w:val="004669E2"/>
    <w:rsid w:val="00470C31"/>
    <w:rsid w:val="0047116E"/>
    <w:rsid w:val="00471DE0"/>
    <w:rsid w:val="004734D0"/>
    <w:rsid w:val="0047556B"/>
    <w:rsid w:val="00477768"/>
    <w:rsid w:val="00492BC5"/>
    <w:rsid w:val="004964F1"/>
    <w:rsid w:val="004A16BC"/>
    <w:rsid w:val="004A2B94"/>
    <w:rsid w:val="004B6F6A"/>
    <w:rsid w:val="004B7C0C"/>
    <w:rsid w:val="004C3898"/>
    <w:rsid w:val="004C75CC"/>
    <w:rsid w:val="004D36B1"/>
    <w:rsid w:val="004D5A1E"/>
    <w:rsid w:val="004D7EBD"/>
    <w:rsid w:val="004E2680"/>
    <w:rsid w:val="004E28F9"/>
    <w:rsid w:val="004E462E"/>
    <w:rsid w:val="004E56DC"/>
    <w:rsid w:val="004E76F4"/>
    <w:rsid w:val="004F0B4E"/>
    <w:rsid w:val="004F0B6C"/>
    <w:rsid w:val="004F2078"/>
    <w:rsid w:val="004F4DA3"/>
    <w:rsid w:val="005016E1"/>
    <w:rsid w:val="00506557"/>
    <w:rsid w:val="0050677A"/>
    <w:rsid w:val="005108D8"/>
    <w:rsid w:val="00510EB9"/>
    <w:rsid w:val="005116F9"/>
    <w:rsid w:val="005153A7"/>
    <w:rsid w:val="005219CF"/>
    <w:rsid w:val="005335C1"/>
    <w:rsid w:val="00534B59"/>
    <w:rsid w:val="00536759"/>
    <w:rsid w:val="00537C62"/>
    <w:rsid w:val="00546970"/>
    <w:rsid w:val="00554E19"/>
    <w:rsid w:val="0056121F"/>
    <w:rsid w:val="005636A3"/>
    <w:rsid w:val="00563FE5"/>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408D"/>
    <w:rsid w:val="005B6F83"/>
    <w:rsid w:val="005C74FB"/>
    <w:rsid w:val="005C7E08"/>
    <w:rsid w:val="005D1602"/>
    <w:rsid w:val="005E385F"/>
    <w:rsid w:val="005E5B81"/>
    <w:rsid w:val="005F2CB1"/>
    <w:rsid w:val="005F3025"/>
    <w:rsid w:val="005F5911"/>
    <w:rsid w:val="005F618C"/>
    <w:rsid w:val="005F70BD"/>
    <w:rsid w:val="00601F47"/>
    <w:rsid w:val="0060283C"/>
    <w:rsid w:val="00604F14"/>
    <w:rsid w:val="00611B83"/>
    <w:rsid w:val="00613257"/>
    <w:rsid w:val="00620A71"/>
    <w:rsid w:val="00620D80"/>
    <w:rsid w:val="006234A6"/>
    <w:rsid w:val="00630001"/>
    <w:rsid w:val="00630A2E"/>
    <w:rsid w:val="006311B3"/>
    <w:rsid w:val="0063284C"/>
    <w:rsid w:val="006341DF"/>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3A1"/>
    <w:rsid w:val="006741F2"/>
    <w:rsid w:val="00674CC3"/>
    <w:rsid w:val="00675C72"/>
    <w:rsid w:val="006771F9"/>
    <w:rsid w:val="006776D7"/>
    <w:rsid w:val="00681003"/>
    <w:rsid w:val="006817C9"/>
    <w:rsid w:val="00683ECE"/>
    <w:rsid w:val="00695FC2"/>
    <w:rsid w:val="00696949"/>
    <w:rsid w:val="00697052"/>
    <w:rsid w:val="0069766A"/>
    <w:rsid w:val="006A46FB"/>
    <w:rsid w:val="006A4A36"/>
    <w:rsid w:val="006A5E28"/>
    <w:rsid w:val="006A697B"/>
    <w:rsid w:val="006A7AFF"/>
    <w:rsid w:val="006B1816"/>
    <w:rsid w:val="006B2099"/>
    <w:rsid w:val="006B50CF"/>
    <w:rsid w:val="006C03B8"/>
    <w:rsid w:val="006C5E85"/>
    <w:rsid w:val="006C5EC9"/>
    <w:rsid w:val="006C6059"/>
    <w:rsid w:val="006C7522"/>
    <w:rsid w:val="006D51B8"/>
    <w:rsid w:val="006D5302"/>
    <w:rsid w:val="006D6F08"/>
    <w:rsid w:val="006E062C"/>
    <w:rsid w:val="006E1C82"/>
    <w:rsid w:val="006E28B7"/>
    <w:rsid w:val="006E2A9B"/>
    <w:rsid w:val="006E3310"/>
    <w:rsid w:val="006E3494"/>
    <w:rsid w:val="006E4E39"/>
    <w:rsid w:val="006E565E"/>
    <w:rsid w:val="006E673D"/>
    <w:rsid w:val="006E7D3B"/>
    <w:rsid w:val="006E7D8D"/>
    <w:rsid w:val="006F050B"/>
    <w:rsid w:val="006F1B70"/>
    <w:rsid w:val="006F341D"/>
    <w:rsid w:val="006F3CDE"/>
    <w:rsid w:val="006F581A"/>
    <w:rsid w:val="006F58D4"/>
    <w:rsid w:val="006F6582"/>
    <w:rsid w:val="007022E1"/>
    <w:rsid w:val="0070346E"/>
    <w:rsid w:val="00704EDB"/>
    <w:rsid w:val="00706101"/>
    <w:rsid w:val="00707072"/>
    <w:rsid w:val="00707D61"/>
    <w:rsid w:val="00712287"/>
    <w:rsid w:val="00712772"/>
    <w:rsid w:val="007148D3"/>
    <w:rsid w:val="00715B9A"/>
    <w:rsid w:val="00721B32"/>
    <w:rsid w:val="007257D0"/>
    <w:rsid w:val="00726EA6"/>
    <w:rsid w:val="00727208"/>
    <w:rsid w:val="00727680"/>
    <w:rsid w:val="00733BEA"/>
    <w:rsid w:val="007348B1"/>
    <w:rsid w:val="007362A6"/>
    <w:rsid w:val="00736D7D"/>
    <w:rsid w:val="00740E58"/>
    <w:rsid w:val="007445A0"/>
    <w:rsid w:val="0074524B"/>
    <w:rsid w:val="00747D8B"/>
    <w:rsid w:val="00751228"/>
    <w:rsid w:val="007571E1"/>
    <w:rsid w:val="007604B2"/>
    <w:rsid w:val="00761DFC"/>
    <w:rsid w:val="00765281"/>
    <w:rsid w:val="00766BAD"/>
    <w:rsid w:val="007729A2"/>
    <w:rsid w:val="007747B3"/>
    <w:rsid w:val="00774D76"/>
    <w:rsid w:val="007755F2"/>
    <w:rsid w:val="00776971"/>
    <w:rsid w:val="00780A80"/>
    <w:rsid w:val="0078177E"/>
    <w:rsid w:val="0078304C"/>
    <w:rsid w:val="00783673"/>
    <w:rsid w:val="00785490"/>
    <w:rsid w:val="007914B6"/>
    <w:rsid w:val="007925EA"/>
    <w:rsid w:val="00793CD8"/>
    <w:rsid w:val="00794552"/>
    <w:rsid w:val="00795C92"/>
    <w:rsid w:val="00796231"/>
    <w:rsid w:val="00797173"/>
    <w:rsid w:val="007A1CB3"/>
    <w:rsid w:val="007A306F"/>
    <w:rsid w:val="007A43A6"/>
    <w:rsid w:val="007A44B6"/>
    <w:rsid w:val="007A58A6"/>
    <w:rsid w:val="007B23C8"/>
    <w:rsid w:val="007B3D2D"/>
    <w:rsid w:val="007B50AE"/>
    <w:rsid w:val="007B51DF"/>
    <w:rsid w:val="007C05DD"/>
    <w:rsid w:val="007C3D18"/>
    <w:rsid w:val="007C60BF"/>
    <w:rsid w:val="007C6A07"/>
    <w:rsid w:val="007C75A1"/>
    <w:rsid w:val="007C77A5"/>
    <w:rsid w:val="007D04E5"/>
    <w:rsid w:val="007D5901"/>
    <w:rsid w:val="007D7526"/>
    <w:rsid w:val="007D7D7C"/>
    <w:rsid w:val="007E4610"/>
    <w:rsid w:val="007E4715"/>
    <w:rsid w:val="007E505B"/>
    <w:rsid w:val="007E62AB"/>
    <w:rsid w:val="007E63F4"/>
    <w:rsid w:val="007E6988"/>
    <w:rsid w:val="007E7091"/>
    <w:rsid w:val="00803FAE"/>
    <w:rsid w:val="0080605F"/>
    <w:rsid w:val="00807786"/>
    <w:rsid w:val="00811FCB"/>
    <w:rsid w:val="008158D6"/>
    <w:rsid w:val="00817196"/>
    <w:rsid w:val="00817449"/>
    <w:rsid w:val="008235DB"/>
    <w:rsid w:val="00824AB4"/>
    <w:rsid w:val="00825C42"/>
    <w:rsid w:val="00825D25"/>
    <w:rsid w:val="00826CEC"/>
    <w:rsid w:val="00827D6F"/>
    <w:rsid w:val="00830F2B"/>
    <w:rsid w:val="008376AC"/>
    <w:rsid w:val="00841994"/>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3B96"/>
    <w:rsid w:val="008941E3"/>
    <w:rsid w:val="00894A88"/>
    <w:rsid w:val="00895386"/>
    <w:rsid w:val="008A21FF"/>
    <w:rsid w:val="008A2C20"/>
    <w:rsid w:val="008A2CE2"/>
    <w:rsid w:val="008A30AC"/>
    <w:rsid w:val="008A44B8"/>
    <w:rsid w:val="008A51A8"/>
    <w:rsid w:val="008A54C7"/>
    <w:rsid w:val="008A77D8"/>
    <w:rsid w:val="008B0483"/>
    <w:rsid w:val="008B120C"/>
    <w:rsid w:val="008B51A0"/>
    <w:rsid w:val="008B592A"/>
    <w:rsid w:val="008B7B5C"/>
    <w:rsid w:val="008C00A9"/>
    <w:rsid w:val="008C05EE"/>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8F5912"/>
    <w:rsid w:val="00902350"/>
    <w:rsid w:val="0090336B"/>
    <w:rsid w:val="009053AA"/>
    <w:rsid w:val="009061DC"/>
    <w:rsid w:val="009066D6"/>
    <w:rsid w:val="00906939"/>
    <w:rsid w:val="00910B7D"/>
    <w:rsid w:val="00911DFB"/>
    <w:rsid w:val="00912013"/>
    <w:rsid w:val="009139D9"/>
    <w:rsid w:val="00913F93"/>
    <w:rsid w:val="00914AD8"/>
    <w:rsid w:val="00916079"/>
    <w:rsid w:val="00917CE9"/>
    <w:rsid w:val="0092075B"/>
    <w:rsid w:val="00920BF2"/>
    <w:rsid w:val="00922010"/>
    <w:rsid w:val="00922474"/>
    <w:rsid w:val="00931BD9"/>
    <w:rsid w:val="009368F3"/>
    <w:rsid w:val="00941636"/>
    <w:rsid w:val="00943262"/>
    <w:rsid w:val="00943742"/>
    <w:rsid w:val="009451C8"/>
    <w:rsid w:val="00945C05"/>
    <w:rsid w:val="00946945"/>
    <w:rsid w:val="00947713"/>
    <w:rsid w:val="00950DE7"/>
    <w:rsid w:val="00953920"/>
    <w:rsid w:val="00953D47"/>
    <w:rsid w:val="0095681E"/>
    <w:rsid w:val="009572D4"/>
    <w:rsid w:val="00961921"/>
    <w:rsid w:val="0096430A"/>
    <w:rsid w:val="0096554B"/>
    <w:rsid w:val="0096584A"/>
    <w:rsid w:val="009665D0"/>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AD5"/>
    <w:rsid w:val="009A5CBA"/>
    <w:rsid w:val="009B1F30"/>
    <w:rsid w:val="009B3AC2"/>
    <w:rsid w:val="009B4DF4"/>
    <w:rsid w:val="009B564E"/>
    <w:rsid w:val="009B6C24"/>
    <w:rsid w:val="009B7E87"/>
    <w:rsid w:val="009C0169"/>
    <w:rsid w:val="009C403E"/>
    <w:rsid w:val="009D4FF0"/>
    <w:rsid w:val="009D703C"/>
    <w:rsid w:val="009D718F"/>
    <w:rsid w:val="009E068F"/>
    <w:rsid w:val="009E14E0"/>
    <w:rsid w:val="009E35DB"/>
    <w:rsid w:val="009E47A3"/>
    <w:rsid w:val="009F08F3"/>
    <w:rsid w:val="009F2B91"/>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1E4F"/>
    <w:rsid w:val="00A45B74"/>
    <w:rsid w:val="00A52E1D"/>
    <w:rsid w:val="00A56054"/>
    <w:rsid w:val="00A56A92"/>
    <w:rsid w:val="00A611BC"/>
    <w:rsid w:val="00A61499"/>
    <w:rsid w:val="00A62A77"/>
    <w:rsid w:val="00A63483"/>
    <w:rsid w:val="00A6376D"/>
    <w:rsid w:val="00A657D7"/>
    <w:rsid w:val="00A660AC"/>
    <w:rsid w:val="00A67E6C"/>
    <w:rsid w:val="00A71B99"/>
    <w:rsid w:val="00A739D0"/>
    <w:rsid w:val="00A761D4"/>
    <w:rsid w:val="00A77EC4"/>
    <w:rsid w:val="00A92879"/>
    <w:rsid w:val="00A9442A"/>
    <w:rsid w:val="00AA016F"/>
    <w:rsid w:val="00AA1ED6"/>
    <w:rsid w:val="00AA49EE"/>
    <w:rsid w:val="00AA51D6"/>
    <w:rsid w:val="00AA6733"/>
    <w:rsid w:val="00AB0BC8"/>
    <w:rsid w:val="00AB11CA"/>
    <w:rsid w:val="00AB14D9"/>
    <w:rsid w:val="00AB4AB8"/>
    <w:rsid w:val="00AB655E"/>
    <w:rsid w:val="00AC007F"/>
    <w:rsid w:val="00AC22FB"/>
    <w:rsid w:val="00AC2ECD"/>
    <w:rsid w:val="00AC3119"/>
    <w:rsid w:val="00AC49FB"/>
    <w:rsid w:val="00AC5A10"/>
    <w:rsid w:val="00AD0AA3"/>
    <w:rsid w:val="00AD19B6"/>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57F"/>
    <w:rsid w:val="00B2763F"/>
    <w:rsid w:val="00B27AAC"/>
    <w:rsid w:val="00B30929"/>
    <w:rsid w:val="00B372AA"/>
    <w:rsid w:val="00B40445"/>
    <w:rsid w:val="00B409E0"/>
    <w:rsid w:val="00B41888"/>
    <w:rsid w:val="00B45A52"/>
    <w:rsid w:val="00B46175"/>
    <w:rsid w:val="00B548B7"/>
    <w:rsid w:val="00B615B6"/>
    <w:rsid w:val="00B644C0"/>
    <w:rsid w:val="00B664C7"/>
    <w:rsid w:val="00B713D8"/>
    <w:rsid w:val="00B739F6"/>
    <w:rsid w:val="00B81A6C"/>
    <w:rsid w:val="00B85DE5"/>
    <w:rsid w:val="00B90F73"/>
    <w:rsid w:val="00B93B59"/>
    <w:rsid w:val="00B9406A"/>
    <w:rsid w:val="00B94BA2"/>
    <w:rsid w:val="00BA2280"/>
    <w:rsid w:val="00BA2A08"/>
    <w:rsid w:val="00BA56D2"/>
    <w:rsid w:val="00BA6188"/>
    <w:rsid w:val="00BA76E0"/>
    <w:rsid w:val="00BB2A25"/>
    <w:rsid w:val="00BB51E9"/>
    <w:rsid w:val="00BC0FDC"/>
    <w:rsid w:val="00BC3053"/>
    <w:rsid w:val="00BC4D2E"/>
    <w:rsid w:val="00BD2B56"/>
    <w:rsid w:val="00BD48AC"/>
    <w:rsid w:val="00BD5F1A"/>
    <w:rsid w:val="00BE1234"/>
    <w:rsid w:val="00BE2FA6"/>
    <w:rsid w:val="00BE333F"/>
    <w:rsid w:val="00BE50BE"/>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161CA"/>
    <w:rsid w:val="00C16A8C"/>
    <w:rsid w:val="00C279B5"/>
    <w:rsid w:val="00C27C45"/>
    <w:rsid w:val="00C30E46"/>
    <w:rsid w:val="00C3334B"/>
    <w:rsid w:val="00C3719D"/>
    <w:rsid w:val="00C37CB2"/>
    <w:rsid w:val="00C473A5"/>
    <w:rsid w:val="00C54995"/>
    <w:rsid w:val="00C54D41"/>
    <w:rsid w:val="00C60783"/>
    <w:rsid w:val="00C64672"/>
    <w:rsid w:val="00C70697"/>
    <w:rsid w:val="00C72093"/>
    <w:rsid w:val="00C72EF4"/>
    <w:rsid w:val="00C744FE"/>
    <w:rsid w:val="00C75A4D"/>
    <w:rsid w:val="00C75D2F"/>
    <w:rsid w:val="00C767BE"/>
    <w:rsid w:val="00C76E3C"/>
    <w:rsid w:val="00C80ACA"/>
    <w:rsid w:val="00C81568"/>
    <w:rsid w:val="00C9027A"/>
    <w:rsid w:val="00C9068E"/>
    <w:rsid w:val="00C93814"/>
    <w:rsid w:val="00C93C4B"/>
    <w:rsid w:val="00C942EA"/>
    <w:rsid w:val="00C944AB"/>
    <w:rsid w:val="00C95B40"/>
    <w:rsid w:val="00CA1ED8"/>
    <w:rsid w:val="00CB1185"/>
    <w:rsid w:val="00CB1F63"/>
    <w:rsid w:val="00CB7170"/>
    <w:rsid w:val="00CC040E"/>
    <w:rsid w:val="00CC111F"/>
    <w:rsid w:val="00CC1BFB"/>
    <w:rsid w:val="00CC2011"/>
    <w:rsid w:val="00CC3EA0"/>
    <w:rsid w:val="00CC7B45"/>
    <w:rsid w:val="00CD1188"/>
    <w:rsid w:val="00CD2ED1"/>
    <w:rsid w:val="00CD30A6"/>
    <w:rsid w:val="00CD337B"/>
    <w:rsid w:val="00CE0424"/>
    <w:rsid w:val="00CE7561"/>
    <w:rsid w:val="00CF1354"/>
    <w:rsid w:val="00CF308A"/>
    <w:rsid w:val="00CF3B1F"/>
    <w:rsid w:val="00CF3BF6"/>
    <w:rsid w:val="00CF625B"/>
    <w:rsid w:val="00CF687E"/>
    <w:rsid w:val="00D0349B"/>
    <w:rsid w:val="00D10249"/>
    <w:rsid w:val="00D115C3"/>
    <w:rsid w:val="00D11897"/>
    <w:rsid w:val="00D13135"/>
    <w:rsid w:val="00D13E4E"/>
    <w:rsid w:val="00D228B4"/>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B5A77"/>
    <w:rsid w:val="00DC2D36"/>
    <w:rsid w:val="00DC53EF"/>
    <w:rsid w:val="00DE5608"/>
    <w:rsid w:val="00DE58D0"/>
    <w:rsid w:val="00DE654F"/>
    <w:rsid w:val="00DF0B6E"/>
    <w:rsid w:val="00DF15E0"/>
    <w:rsid w:val="00DF37A0"/>
    <w:rsid w:val="00E110E7"/>
    <w:rsid w:val="00E11B20"/>
    <w:rsid w:val="00E17FA2"/>
    <w:rsid w:val="00E20580"/>
    <w:rsid w:val="00E22330"/>
    <w:rsid w:val="00E30B5A"/>
    <w:rsid w:val="00E30E96"/>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014"/>
    <w:rsid w:val="00E758EC"/>
    <w:rsid w:val="00E8234C"/>
    <w:rsid w:val="00E83AA9"/>
    <w:rsid w:val="00E84497"/>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035D"/>
    <w:rsid w:val="00EF18FE"/>
    <w:rsid w:val="00EF5787"/>
    <w:rsid w:val="00EF60D0"/>
    <w:rsid w:val="00F0528D"/>
    <w:rsid w:val="00F06739"/>
    <w:rsid w:val="00F06C67"/>
    <w:rsid w:val="00F06DFD"/>
    <w:rsid w:val="00F071D1"/>
    <w:rsid w:val="00F07533"/>
    <w:rsid w:val="00F10629"/>
    <w:rsid w:val="00F15FA5"/>
    <w:rsid w:val="00F209B7"/>
    <w:rsid w:val="00F2376F"/>
    <w:rsid w:val="00F243D8"/>
    <w:rsid w:val="00F30828"/>
    <w:rsid w:val="00F313D6"/>
    <w:rsid w:val="00F319F9"/>
    <w:rsid w:val="00F40F0C"/>
    <w:rsid w:val="00F45361"/>
    <w:rsid w:val="00F4766C"/>
    <w:rsid w:val="00F5060E"/>
    <w:rsid w:val="00F507D1"/>
    <w:rsid w:val="00F519CE"/>
    <w:rsid w:val="00F51ADA"/>
    <w:rsid w:val="00F52023"/>
    <w:rsid w:val="00F52DF4"/>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 w:val="00FF685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0D9D7A45-B32C-4D59-9E98-E77DE0719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qFormat/>
    <w:locked/>
    <w:rsid w:val="00230D18"/>
    <w:rPr>
      <w:rFonts w:ascii="Times New Roman" w:hAnsi="Times New Roman"/>
    </w:rPr>
  </w:style>
  <w:style w:type="paragraph" w:customStyle="1" w:styleId="B3">
    <w:name w:val="B3"/>
    <w:basedOn w:val="List3"/>
    <w:link w:val="B3Char2"/>
    <w:qFormat/>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6A4A36"/>
    <w:rPr>
      <w:rFonts w:ascii="Arial" w:eastAsiaTheme="minorHAnsi" w:hAnsi="Arial" w:cstheme="minorBidi"/>
      <w:szCs w:val="22"/>
      <w:lang w:val="en-US" w:eastAsia="en-US"/>
    </w:rPr>
  </w:style>
  <w:style w:type="paragraph" w:customStyle="1" w:styleId="3GPPAgreements">
    <w:name w:val="3GPP Agreements"/>
    <w:basedOn w:val="Normal"/>
    <w:qFormat/>
    <w:rsid w:val="00B615B6"/>
    <w:pPr>
      <w:numPr>
        <w:numId w:val="26"/>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 w:val="22"/>
      <w:szCs w:val="20"/>
      <w:lang w:eastAsia="zh-CN"/>
    </w:rPr>
  </w:style>
  <w:style w:type="character" w:customStyle="1" w:styleId="B3Char">
    <w:name w:val="B3 Char"/>
    <w:qFormat/>
    <w:rsid w:val="000035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9433936">
      <w:bodyDiv w:val="1"/>
      <w:marLeft w:val="0"/>
      <w:marRight w:val="0"/>
      <w:marTop w:val="0"/>
      <w:marBottom w:val="0"/>
      <w:divBdr>
        <w:top w:val="none" w:sz="0" w:space="0" w:color="auto"/>
        <w:left w:val="none" w:sz="0" w:space="0" w:color="auto"/>
        <w:bottom w:val="none" w:sz="0" w:space="0" w:color="auto"/>
        <w:right w:val="none" w:sz="0" w:space="0" w:color="auto"/>
      </w:divBdr>
    </w:div>
    <w:div w:id="1224297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purl.org/dc/terms/"/>
    <ds:schemaRef ds:uri="http://schemas.microsoft.com/office/2006/documentManagement/types"/>
    <ds:schemaRef ds:uri="http://www.w3.org/XML/1998/namespace"/>
    <ds:schemaRef ds:uri="2f282d3b-eb4a-4b09-b61f-b9593442e286"/>
    <ds:schemaRef ds:uri="http://purl.org/dc/elements/1.1/"/>
    <ds:schemaRef ds:uri="http://schemas.microsoft.com/office/infopath/2007/PartnerControls"/>
    <ds:schemaRef ds:uri="http://schemas.openxmlformats.org/package/2006/metadata/core-properties"/>
    <ds:schemaRef ds:uri="http://purl.org/dc/dcmitype/"/>
    <ds:schemaRef ds:uri="9b239327-9e80-40e4-b1b7-4394fed77a33"/>
    <ds:schemaRef ds:uri="d8762117-8292-4133-b1c7-eab5c6487cfd"/>
    <ds:schemaRef ds:uri="http://schemas.microsoft.com/sharepoint/v3"/>
    <ds:schemaRef ds:uri="http://schemas.microsoft.com/office/2006/metadata/properties"/>
  </ds:schemaRefs>
</ds:datastoreItem>
</file>

<file path=customXml/itemProps2.xml><?xml version="1.0" encoding="utf-8"?>
<ds:datastoreItem xmlns:ds="http://schemas.openxmlformats.org/officeDocument/2006/customXml" ds:itemID="{09487E22-A66E-47C8-B951-650B5EE74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187</TotalTime>
  <Pages>1</Pages>
  <Words>682</Words>
  <Characters>3890</Characters>
  <Application>Microsoft Office Word</Application>
  <DocSecurity>4</DocSecurity>
  <Lines>32</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Ratheesh Kumar Mungara</cp:lastModifiedBy>
  <cp:revision>89</cp:revision>
  <cp:lastPrinted>2008-02-01T01:09:00Z</cp:lastPrinted>
  <dcterms:created xsi:type="dcterms:W3CDTF">2025-08-13T18:24:00Z</dcterms:created>
  <dcterms:modified xsi:type="dcterms:W3CDTF">2025-10-03T17:40:00Z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MediaServiceImageTags">
    <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8a55f769-6b59-48e8-aa7c-b6379760fbcd</vt:lpwstr>
  </property>
  <property fmtid="{D5CDD505-2E9C-101B-9397-08002B2CF9AE}" pid="6" name="EriCOLLCategory">
    <vt:lpwstr/>
  </property>
  <property fmtid="{D5CDD505-2E9C-101B-9397-08002B2CF9AE}" pid="7" name="EriCOLLProjectsTaxHTField0">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Customer">
    <vt:lpwstr/>
  </property>
  <property fmtid="{D5CDD505-2E9C-101B-9397-08002B2CF9AE}" pid="13" name="EriCOLLOrganizationUnitTaxHTField0">
    <vt:lpwstr/>
  </property>
  <property fmtid="{D5CDD505-2E9C-101B-9397-08002B2CF9AE}" pid="14" name="EriCOLLProducts">
    <vt:lpwstr/>
  </property>
  <property fmtid="{D5CDD505-2E9C-101B-9397-08002B2CF9AE}" pid="15" name="EriCOLLCategoryTaxHTField0">
    <vt:lpwstr/>
  </property>
  <property fmtid="{D5CDD505-2E9C-101B-9397-08002B2CF9AE}" pid="16" name="EriCOLLCompetenceTaxHTField0">
    <vt:lpwstr/>
  </property>
  <property fmtid="{D5CDD505-2E9C-101B-9397-08002B2CF9AE}" pid="17" name="EriCOLLCountryTaxHTField0">
    <vt:lpwstr/>
  </property>
  <property fmtid="{D5CDD505-2E9C-101B-9397-08002B2CF9AE}" pid="18" name="EriCOLLCustomerTaxHTField0">
    <vt:lpwstr/>
  </property>
  <property fmtid="{D5CDD505-2E9C-101B-9397-08002B2CF9AE}" pid="19" name="EriCOLLProductsTaxHTField0">
    <vt:lpwstr/>
  </property>
  <property fmtid="{D5CDD505-2E9C-101B-9397-08002B2CF9AE}" pid="20" name="EriCOLLProcessTaxHTField0">
    <vt:lpwstr/>
  </property>
  <property fmtid="{D5CDD505-2E9C-101B-9397-08002B2CF9AE}" pid="21" name="EriCOLLProjects">
    <vt:lpwstr/>
  </property>
  <property fmtid="{D5CDD505-2E9C-101B-9397-08002B2CF9AE}" pid="22" name="xd_ProgID">
    <vt:lpwstr/>
  </property>
  <property fmtid="{D5CDD505-2E9C-101B-9397-08002B2CF9AE}" pid="23" name="_dlc_DocId">
    <vt:lpwstr>5NUHHDQN7SK2-1476151046-563421</vt:lpwstr>
  </property>
  <property fmtid="{D5CDD505-2E9C-101B-9397-08002B2CF9AE}" pid="24" name="TaxKeywordTaxHTField">
    <vt:lpwstr>3GPP|11111111-1111-1111-1111-111111111111;TDoc|af4b50c5-3c78-4293-b1bd-3e717d5b6882;Ericsson|11111111-1111-1111-1111-111111111111</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y fmtid="{D5CDD505-2E9C-101B-9397-08002B2CF9AE}" pid="28" name="_dlc_DocIdUrl">
    <vt:lpwstr>https://ericsson.sharepoint.com/sites/star/_layouts/15/DocIdRedir.aspx?ID=5NUHHDQN7SK2-1476151046-563421, 5NUHHDQN7SK2-1476151046-563421</vt:lpwstr>
  </property>
  <property fmtid="{D5CDD505-2E9C-101B-9397-08002B2CF9AE}" pid="29" name="xd_Signature">
    <vt:bool>false</vt:bool>
  </property>
  <property fmtid="{D5CDD505-2E9C-101B-9397-08002B2CF9AE}" pid="30" name="TriggerFlowInfo">
    <vt:lpwstr/>
  </property>
  <property fmtid="{D5CDD505-2E9C-101B-9397-08002B2CF9AE}" pid="31" name="ContentTypeId">
    <vt:lpwstr>0x010100F3E9551B3FDDA24EBF0A209BAAD637CA</vt:lpwstr>
  </property>
</Properties>
</file>